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E135B">
      <w:pPr>
        <w:rPr>
          <w:rFonts w:hint="eastAsia" w:ascii="黑体"/>
          <w:szCs w:val="21"/>
        </w:rPr>
      </w:pPr>
    </w:p>
    <w:p w14:paraId="7B43B351">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bookmarkStart w:id="0" w:name="_Toc14794"/>
      <w:bookmarkStart w:id="1" w:name="_Toc24964"/>
      <w:bookmarkStart w:id="2" w:name="_Toc31202"/>
      <w:bookmarkStart w:id="3" w:name="_Toc942016"/>
      <w:bookmarkStart w:id="4" w:name="_Toc942345"/>
      <w:bookmarkStart w:id="5" w:name="_Toc15743"/>
      <w:bookmarkStart w:id="6" w:name="_Toc1651879"/>
      <w:r>
        <w:rPr>
          <w:rFonts w:hint="eastAsia" w:ascii="黑体" w:hAnsi="黑体" w:eastAsia="黑体" w:cs="黑体"/>
          <w:bCs/>
          <w:smallCaps w:val="0"/>
          <w:kern w:val="0"/>
          <w:sz w:val="21"/>
          <w:szCs w:val="21"/>
        </w:rPr>
        <w:t>ICS XX.XXX.XX</w:t>
      </w:r>
    </w:p>
    <w:p w14:paraId="2486D1BD">
      <w:pPr>
        <w:framePr w:w="2132" w:hSpace="1417" w:vSpace="567" w:wrap="around" w:vAnchor="margin" w:hAnchor="margin" w:y="528" w:anchorLock="1"/>
        <w:widowControl/>
        <w:jc w:val="left"/>
        <w:rPr>
          <w:rFonts w:hint="eastAsia" w:ascii="黑体" w:hAnsi="黑体" w:eastAsia="黑体" w:cs="黑体"/>
          <w:bCs/>
          <w:smallCaps w:val="0"/>
          <w:kern w:val="0"/>
          <w:sz w:val="21"/>
          <w:szCs w:val="21"/>
        </w:rPr>
      </w:pPr>
      <w:r>
        <w:rPr>
          <w:rFonts w:hint="eastAsia" w:ascii="黑体" w:hAnsi="黑体" w:eastAsia="黑体" w:cs="黑体"/>
          <w:bCs/>
          <w:smallCaps w:val="0"/>
          <w:kern w:val="0"/>
          <w:sz w:val="21"/>
          <w:szCs w:val="21"/>
        </w:rPr>
        <w:t>CCS</w:t>
      </w:r>
      <w:r>
        <w:rPr>
          <w:rFonts w:hint="eastAsia" w:ascii="黑体" w:hAnsi="黑体" w:eastAsia="黑体" w:cs="黑体"/>
          <w:bCs/>
          <w:smallCaps w:val="0"/>
          <w:color w:val="000000"/>
          <w:kern w:val="0"/>
          <w:sz w:val="21"/>
          <w:szCs w:val="21"/>
          <w:lang w:bidi="ar"/>
        </w:rPr>
        <w:t xml:space="preserve"> X XX</w:t>
      </w:r>
    </w:p>
    <w:p w14:paraId="12A0BFC4">
      <w:pPr>
        <w:framePr w:w="2546" w:h="1389" w:hRule="exact" w:hSpace="181" w:vSpace="181" w:wrap="around" w:vAnchor="margin" w:hAnchor="margin" w:x="6522" w:y="398" w:anchorLock="1"/>
        <w:widowControl/>
        <w:shd w:val="solid" w:color="FFFFFF" w:fill="FFFFFF"/>
        <w:spacing w:line="0" w:lineRule="atLeast"/>
        <w:jc w:val="right"/>
        <w:rPr>
          <w:rFonts w:ascii="Times New Roman" w:hAnsi="Times New Roman"/>
          <w:b/>
          <w:smallCaps w:val="0"/>
          <w:w w:val="170"/>
          <w:kern w:val="0"/>
          <w:sz w:val="96"/>
          <w:szCs w:val="96"/>
        </w:rPr>
      </w:pPr>
    </w:p>
    <w:p w14:paraId="40396E16">
      <w:pPr>
        <w:framePr w:w="9639" w:h="813" w:hRule="exact" w:hSpace="181" w:vSpace="181" w:wrap="around" w:vAnchor="page" w:hAnchor="page" w:x="1330" w:y="2268" w:anchorLock="1"/>
        <w:kinsoku w:val="0"/>
        <w:overflowPunct w:val="0"/>
        <w:autoSpaceDE w:val="0"/>
        <w:autoSpaceDN w:val="0"/>
        <w:spacing w:line="0" w:lineRule="atLeast"/>
        <w:jc w:val="distribute"/>
        <w:rPr>
          <w:rFonts w:hint="eastAsia" w:ascii="黑体" w:hAnsi="黑体" w:eastAsia="黑体" w:cs="黑体"/>
          <w:b/>
          <w:bCs/>
          <w:smallCaps w:val="0"/>
          <w:spacing w:val="20"/>
          <w:w w:val="148"/>
          <w:kern w:val="0"/>
          <w:sz w:val="48"/>
          <w:szCs w:val="20"/>
        </w:rPr>
      </w:pPr>
      <w:r>
        <w:rPr>
          <w:rFonts w:hint="eastAsia" w:ascii="黑体" w:hAnsi="黑体" w:eastAsia="黑体" w:cs="黑体"/>
          <w:b/>
          <w:bCs/>
          <w:smallCaps w:val="0"/>
          <w:spacing w:val="20"/>
          <w:w w:val="148"/>
          <w:kern w:val="0"/>
          <w:sz w:val="48"/>
          <w:szCs w:val="20"/>
        </w:rPr>
        <w:t>团体标准</w:t>
      </w:r>
    </w:p>
    <w:p w14:paraId="0874E101">
      <w:pPr>
        <w:framePr w:w="9140" w:h="792" w:hRule="exact" w:hSpace="284" w:wrap="around" w:vAnchor="page" w:hAnchor="page" w:x="1645" w:y="3360" w:anchorLock="1"/>
        <w:widowControl/>
        <w:wordWrap w:val="0"/>
        <w:jc w:val="right"/>
        <w:rPr>
          <w:rFonts w:ascii="黑体" w:hAnsi="Times New Roman" w:eastAsia="黑体"/>
          <w:smallCaps w:val="0"/>
          <w:kern w:val="0"/>
          <w:sz w:val="28"/>
          <w:szCs w:val="28"/>
        </w:rPr>
      </w:pPr>
      <w:r>
        <w:rPr>
          <w:rFonts w:hint="eastAsia" w:ascii="黑体" w:hAnsi="黑体" w:eastAsia="黑体" w:cs="黑体"/>
          <w:smallCaps w:val="0"/>
          <w:kern w:val="0"/>
          <w:sz w:val="28"/>
          <w:szCs w:val="28"/>
        </w:rPr>
        <w:t>T/FDSA 0XXX—2025</w:t>
      </w:r>
    </w:p>
    <w:p w14:paraId="48BAC78F">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217E3AB8">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42484AE3">
      <w:pPr>
        <w:framePr w:w="9639" w:h="6917" w:hRule="exact" w:wrap="around" w:vAnchor="page" w:hAnchor="page" w:xAlign="center" w:y="6408" w:anchorLock="1"/>
        <w:pBdr>
          <w:top w:val="none" w:sz="0" w:space="0"/>
          <w:left w:val="none" w:sz="0" w:space="0"/>
          <w:bottom w:val="none" w:sz="0" w:space="0"/>
          <w:right w:val="none" w:sz="0" w:space="0"/>
        </w:pBdr>
        <w:spacing w:line="257" w:lineRule="auto"/>
        <w:jc w:val="center"/>
        <w:rPr>
          <w:lang w:eastAsia="zh-CN"/>
        </w:rPr>
      </w:pPr>
      <w:r>
        <w:rPr>
          <w:rFonts w:hint="eastAsia" w:ascii="黑体" w:hAnsi="黑体" w:eastAsia="黑体" w:cs="黑体"/>
          <w:spacing w:val="-2"/>
          <w:sz w:val="52"/>
          <w:szCs w:val="52"/>
          <w:lang w:eastAsia="zh-CN"/>
        </w:rPr>
        <w:t>组织工程产品</w:t>
      </w:r>
      <w:r>
        <w:rPr>
          <w:rFonts w:hint="eastAsia" w:ascii="黑体" w:hAnsi="黑体" w:eastAsia="黑体" w:cs="黑体"/>
          <w:spacing w:val="-2"/>
          <w:sz w:val="52"/>
          <w:szCs w:val="52"/>
          <w:lang w:val="en-US" w:eastAsia="zh-CN"/>
        </w:rPr>
        <w:t xml:space="preserve"> </w:t>
      </w:r>
      <w:r>
        <w:rPr>
          <w:rFonts w:hint="eastAsia" w:ascii="黑体" w:hAnsi="黑体" w:eastAsia="黑体" w:cs="黑体"/>
          <w:spacing w:val="-2"/>
          <w:sz w:val="52"/>
          <w:szCs w:val="52"/>
          <w:lang w:eastAsia="zh-CN"/>
        </w:rPr>
        <w:t>含细胞组织工程软骨体外构建质量要求</w:t>
      </w:r>
    </w:p>
    <w:p w14:paraId="3231C4E6">
      <w:pPr>
        <w:framePr w:w="9639" w:h="6917" w:hRule="exact" w:wrap="around" w:vAnchor="page" w:hAnchor="page" w:xAlign="center" w:y="6408" w:anchorLock="1"/>
        <w:rPr>
          <w:rFonts w:hint="eastAsia"/>
        </w:rPr>
      </w:pPr>
    </w:p>
    <w:p w14:paraId="1508CB05">
      <w:pPr>
        <w:framePr w:w="9639" w:h="6917" w:hRule="exact" w:wrap="around" w:vAnchor="page" w:hAnchor="page" w:xAlign="center" w:y="6408" w:anchorLock="1"/>
        <w:pBdr>
          <w:top w:val="none" w:sz="0" w:space="0"/>
          <w:left w:val="none" w:sz="0" w:space="0"/>
          <w:bottom w:val="none" w:sz="0" w:space="0"/>
          <w:right w:val="none" w:sz="0" w:space="0"/>
        </w:pBdr>
        <w:spacing w:line="249" w:lineRule="auto"/>
        <w:jc w:val="center"/>
        <w:rPr>
          <w:rFonts w:eastAsiaTheme="minorEastAsia"/>
          <w:lang w:eastAsia="zh-CN"/>
        </w:rPr>
      </w:pPr>
      <w:r>
        <w:rPr>
          <w:rFonts w:ascii="Times New Roman" w:hAnsi="Times New Roman" w:cs="Times New Roman" w:eastAsiaTheme="minorEastAsia"/>
          <w:sz w:val="28"/>
          <w:szCs w:val="28"/>
          <w:lang w:eastAsia="zh-CN"/>
        </w:rPr>
        <w:t>Quality requirements for in vitro construction of cell-containing tissue-engineered cartilage products</w:t>
      </w:r>
    </w:p>
    <w:p w14:paraId="0280422B">
      <w:pPr>
        <w:framePr w:w="9639" w:h="6917" w:hRule="exact" w:wrap="around" w:vAnchor="page" w:hAnchor="page" w:xAlign="center" w:y="6408" w:anchorLock="1"/>
        <w:spacing w:before="440" w:line="400" w:lineRule="exact"/>
        <w:jc w:val="center"/>
        <w:textAlignment w:val="center"/>
        <w:rPr>
          <w:rFonts w:ascii="宋体" w:hAnsi="Times New Roman"/>
          <w:smallCaps w:val="0"/>
          <w:kern w:val="0"/>
          <w:sz w:val="28"/>
          <w:szCs w:val="28"/>
        </w:rPr>
      </w:pPr>
      <w:r>
        <w:rPr>
          <w:rFonts w:hint="eastAsia" w:ascii="宋体" w:hAnsi="Times New Roman"/>
          <w:smallCaps w:val="0"/>
          <w:kern w:val="0"/>
          <w:sz w:val="28"/>
          <w:szCs w:val="28"/>
        </w:rPr>
        <w:t>（</w:t>
      </w:r>
      <w:r>
        <w:rPr>
          <w:rFonts w:hint="eastAsia" w:ascii="宋体" w:hAnsi="Times New Roman"/>
          <w:smallCaps w:val="0"/>
          <w:kern w:val="0"/>
          <w:sz w:val="28"/>
          <w:szCs w:val="28"/>
          <w:lang w:val="en-US" w:eastAsia="zh-CN"/>
        </w:rPr>
        <w:t>征求意见稿</w:t>
      </w:r>
      <w:r>
        <w:rPr>
          <w:rFonts w:hint="eastAsia" w:ascii="宋体" w:hAnsi="Times New Roman"/>
          <w:smallCaps w:val="0"/>
          <w:kern w:val="0"/>
          <w:sz w:val="28"/>
          <w:szCs w:val="28"/>
        </w:rPr>
        <w:t>）</w:t>
      </w:r>
    </w:p>
    <w:p w14:paraId="5B2734A2">
      <w:pPr>
        <w:framePr w:w="3997" w:h="471" w:hRule="exact" w:vSpace="181" w:wrap="around" w:vAnchor="page" w:hAnchor="page" w:x="1419" w:y="14097" w:anchorLock="1"/>
        <w:widowControl/>
        <w:jc w:val="lef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Times New Roman"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发布</w:t>
      </w:r>
      <w:r>
        <w:rPr>
          <w:rFonts w:ascii="Times New Roman" w:hAnsi="Times New Roman" w:eastAsia="黑体"/>
          <w:smallCaps w:val="0"/>
          <w:kern w:val="0"/>
          <w:sz w:val="28"/>
          <w:szCs w:val="20"/>
        </w:rP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h2s81gAAAAsBAAAPAAAAAAAAAAEAIAAAACIAAABkcnMvZG93bnJldi54bWxQSwECFAAUAAAA&#10;CACHTuJAK+VV/fABAADFAwAADgAAAAAAAAABACAAAAAlAQAAZHJzL2Uyb0RvYy54bWxQSwUGAAAA&#10;AAYABgBZAQAAhwUAAAAA&#10;">
                <v:path arrowok="t"/>
                <v:fill on="f" focussize="0,0"/>
                <v:stroke color="#000000" joinstyle="round"/>
                <v:imagedata o:title=""/>
                <o:lock v:ext="edit" aspectratio="f"/>
                <w10:anchorlock/>
              </v:line>
            </w:pict>
          </mc:Fallback>
        </mc:AlternateContent>
      </w:r>
    </w:p>
    <w:p w14:paraId="1431F918">
      <w:pPr>
        <w:framePr w:w="3997" w:h="471" w:hRule="exact" w:vSpace="181" w:wrap="around" w:vAnchor="page" w:hAnchor="page" w:x="7089" w:y="14097" w:anchorLock="1"/>
        <w:widowControl/>
        <w:jc w:val="righ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Times New Roman" w:hAnsi="Times New Roman" w:eastAsia="黑体"/>
          <w:smallCaps w:val="0"/>
          <w:kern w:val="0"/>
          <w:sz w:val="28"/>
          <w:szCs w:val="20"/>
        </w:rPr>
        <w:t xml:space="preserve"> </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实施</w:t>
      </w:r>
    </w:p>
    <w:p w14:paraId="0D44BD0A">
      <w:pPr>
        <w:framePr w:w="7937" w:h="1134" w:hRule="exact" w:hSpace="125" w:vSpace="1134" w:wrap="around" w:vAnchor="margin" w:hAnchor="page" w:x="2359" w:y="14809" w:anchorLock="1"/>
        <w:widowControl/>
        <w:jc w:val="center"/>
        <w:rPr>
          <w:rFonts w:hint="eastAsia" w:ascii="宋体" w:hAnsi="Times New Roman"/>
          <w:smallCaps w:val="0"/>
          <w:kern w:val="0"/>
          <w:sz w:val="21"/>
          <w:szCs w:val="20"/>
        </w:rPr>
        <w:sectPr>
          <w:headerReference r:id="rId5" w:type="first"/>
          <w:footerReference r:id="rId7" w:type="first"/>
          <w:headerReference r:id="rId3" w:type="default"/>
          <w:headerReference r:id="rId4" w:type="even"/>
          <w:footerReference r:id="rId6" w:type="even"/>
          <w:pgSz w:w="11906" w:h="16838"/>
          <w:pgMar w:top="567" w:right="1134" w:bottom="1134" w:left="1417" w:header="0" w:footer="0" w:gutter="0"/>
          <w:pgNumType w:start="1"/>
          <w:cols w:space="720" w:num="1"/>
          <w:docGrid w:type="lines" w:linePitch="312" w:charSpace="0"/>
        </w:sectPr>
      </w:pPr>
      <w:r>
        <w:rPr>
          <w:rFonts w:hint="eastAsia" w:ascii="宋体" w:hAnsi="Times New Roman"/>
          <w:b/>
          <w:smallCaps w:val="0"/>
          <w:spacing w:val="20"/>
          <w:w w:val="135"/>
          <w:kern w:val="0"/>
          <w:sz w:val="28"/>
          <w:szCs w:val="20"/>
        </w:rPr>
        <w:t xml:space="preserve">中国食品药品企业质量安全促进会   </w:t>
      </w:r>
      <w:r>
        <w:rPr>
          <w:rFonts w:hint="eastAsia" w:ascii="黑体" w:hAnsi="黑体" w:eastAsia="黑体" w:cs="黑体"/>
          <w:bCs/>
          <w:smallCaps w:val="0"/>
          <w:spacing w:val="20"/>
          <w:w w:val="135"/>
          <w:kern w:val="0"/>
          <w:sz w:val="28"/>
          <w:szCs w:val="28"/>
        </w:rPr>
        <w:t>发布</w:t>
      </w:r>
      <w:r>
        <w:rPr>
          <w:rFonts w:ascii="宋体" w:hAnsi="Times New Roman"/>
          <w:smallCaps w:val="0"/>
          <w:kern w:val="0"/>
          <w:sz w:val="21"/>
          <w:szCs w:val="20"/>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2312670</wp:posOffset>
                </wp:positionV>
                <wp:extent cx="6120130" cy="0"/>
                <wp:effectExtent l="0" t="4445" r="0" b="508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top:182.1pt;height:0pt;width:481.9pt;mso-position-horizontal:left;mso-position-horizontal-relative:margin;z-index:251661312;mso-width-relative:page;mso-height-relative:page;" filled="f" stroked="t" coordsize="21600,21600" o:gfxdata="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GiQ0KXVAAAACAEAAA8AAAAAAAAAAQAgAAAAIgAAAGRycy9kb3ducmV2LnhtbFBLAQIUABQAAAAI&#10;AIdO4kA/0TpF8AEAAMUDAAAOAAAAAAAAAAEAIAAAACQBAABkcnMvZTJvRG9jLnhtbFBLBQYAAAAA&#10;BgAGAFkBAACGBQAAAAA=&#10;">
                <v:path arrowok="t"/>
                <v:fill on="f" focussize="0,0"/>
                <v:stroke color="#000000" joinstyle="round"/>
                <v:imagedata o:title=""/>
                <o:lock v:ext="edit" aspectratio="f"/>
              </v:line>
            </w:pict>
          </mc:Fallback>
        </mc:AlternateContent>
      </w:r>
    </w:p>
    <w:bookmarkEnd w:id="0"/>
    <w:bookmarkEnd w:id="1"/>
    <w:bookmarkEnd w:id="2"/>
    <w:bookmarkEnd w:id="3"/>
    <w:bookmarkEnd w:id="4"/>
    <w:bookmarkEnd w:id="5"/>
    <w:bookmarkEnd w:id="6"/>
    <w:p w14:paraId="448727E2">
      <w:pPr>
        <w:pStyle w:val="6"/>
        <w:spacing w:before="101" w:line="228" w:lineRule="auto"/>
        <w:jc w:val="both"/>
        <w:rPr>
          <w:spacing w:val="-22"/>
          <w:sz w:val="31"/>
          <w:szCs w:val="31"/>
          <w:lang w:eastAsia="zh-CN"/>
        </w:rPr>
      </w:pPr>
    </w:p>
    <w:p w14:paraId="06593AB3">
      <w:pPr>
        <w:pStyle w:val="6"/>
        <w:spacing w:before="101" w:line="228" w:lineRule="auto"/>
        <w:jc w:val="center"/>
        <w:rPr>
          <w:rFonts w:hint="eastAsia"/>
          <w:sz w:val="31"/>
          <w:szCs w:val="31"/>
          <w:lang w:eastAsia="zh-CN"/>
        </w:rPr>
      </w:pPr>
      <w:r>
        <w:rPr>
          <w:spacing w:val="-22"/>
          <w:sz w:val="31"/>
          <w:szCs w:val="31"/>
          <w:lang w:eastAsia="zh-CN"/>
        </w:rPr>
        <w:t>目</w:t>
      </w:r>
      <w:r>
        <w:rPr>
          <w:spacing w:val="8"/>
          <w:sz w:val="31"/>
          <w:szCs w:val="31"/>
          <w:lang w:eastAsia="zh-CN"/>
        </w:rPr>
        <w:t xml:space="preserve">    </w:t>
      </w:r>
      <w:r>
        <w:rPr>
          <w:spacing w:val="-22"/>
          <w:sz w:val="31"/>
          <w:szCs w:val="31"/>
          <w:lang w:eastAsia="zh-CN"/>
        </w:rPr>
        <w:t>次</w:t>
      </w:r>
    </w:p>
    <w:p w14:paraId="282D979B">
      <w:pPr>
        <w:spacing w:line="417" w:lineRule="auto"/>
        <w:rPr>
          <w:lang w:eastAsia="zh-CN"/>
        </w:rPr>
      </w:pPr>
    </w:p>
    <w:sdt>
      <w:sdtPr>
        <w:rPr>
          <w:rFonts w:hint="eastAsia" w:asciiTheme="minorEastAsia" w:hAnsiTheme="minorEastAsia" w:eastAsiaTheme="minorEastAsia" w:cstheme="minorEastAsia"/>
          <w:sz w:val="21"/>
          <w:szCs w:val="21"/>
        </w:rPr>
        <w:id w:val="147461084"/>
        <w:docPartObj>
          <w:docPartGallery w:val="Table of Contents"/>
          <w:docPartUnique/>
        </w:docPartObj>
      </w:sdtPr>
      <w:sdtEndPr>
        <w:rPr>
          <w:rFonts w:ascii="宋体" w:hAnsi="宋体" w:eastAsia="宋体" w:cs="宋体"/>
          <w:sz w:val="21"/>
          <w:szCs w:val="20"/>
        </w:rPr>
      </w:sdtEndPr>
      <w:sdtContent>
        <w:p w14:paraId="508F2470">
          <w:pPr>
            <w:pStyle w:val="9"/>
            <w:keepNext w:val="0"/>
            <w:keepLines w:val="0"/>
            <w:pageBreakBefore w:val="0"/>
            <w:widowControl/>
            <w:tabs>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TOC \o "1-2" \u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pacing w:val="-2"/>
              <w:sz w:val="21"/>
              <w:szCs w:val="21"/>
              <w:lang w:eastAsia="zh-CN"/>
            </w:rPr>
            <w:t>前</w:t>
          </w:r>
          <w:r>
            <w:rPr>
              <w:rFonts w:hint="eastAsia" w:asciiTheme="minorEastAsia" w:hAnsiTheme="minorEastAsia" w:eastAsiaTheme="minorEastAsia" w:cstheme="minorEastAsia"/>
              <w:spacing w:val="11"/>
              <w:sz w:val="21"/>
              <w:szCs w:val="21"/>
              <w:lang w:eastAsia="zh-CN"/>
            </w:rPr>
            <w:t xml:space="preserve">    </w:t>
          </w:r>
          <w:r>
            <w:rPr>
              <w:rFonts w:hint="eastAsia" w:asciiTheme="minorEastAsia" w:hAnsiTheme="minorEastAsia" w:eastAsiaTheme="minorEastAsia" w:cstheme="minorEastAsia"/>
              <w:spacing w:val="-2"/>
              <w:sz w:val="21"/>
              <w:szCs w:val="21"/>
              <w:lang w:eastAsia="zh-CN"/>
            </w:rPr>
            <w:t>言</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_Toc214959098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3</w:t>
          </w:r>
          <w:r>
            <w:rPr>
              <w:rFonts w:hint="eastAsia" w:asciiTheme="minorEastAsia" w:hAnsiTheme="minorEastAsia" w:eastAsiaTheme="minorEastAsia" w:cstheme="minorEastAsia"/>
              <w:sz w:val="21"/>
              <w:szCs w:val="21"/>
            </w:rPr>
            <w:fldChar w:fldCharType="end"/>
          </w:r>
        </w:p>
        <w:p w14:paraId="1E75CBCF">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z w:val="21"/>
              <w:szCs w:val="21"/>
              <w:lang w:eastAsia="zh-CN"/>
            </w:rPr>
            <w:t>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范围</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_Toc214959099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281885FD">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规范性引用文件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4FD900D1">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术语和定义</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53013DD2">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体外构建过程控制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71AD90B4">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构建阶段定义</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4</w:t>
          </w:r>
          <w:r>
            <w:rPr>
              <w:rFonts w:hint="eastAsia" w:asciiTheme="minorEastAsia" w:hAnsiTheme="minorEastAsia" w:eastAsiaTheme="minorEastAsia" w:cstheme="minorEastAsia"/>
              <w:sz w:val="21"/>
              <w:szCs w:val="21"/>
            </w:rPr>
            <w:fldChar w:fldCharType="end"/>
          </w:r>
        </w:p>
        <w:p w14:paraId="2A954D6A">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细胞准备与接种</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3CC7B772">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培养条件</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54D56562">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4.4.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过程监测</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199F39B2">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质量控制要求</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0C751405">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核心指标</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028DB9B2">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5.2.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质量判定</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_Toc214959109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121985C8">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检测方法</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_Toc214959110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782E1243">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sGAG含量测定</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_Toc214959111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1A7F858F">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细胞活性测定</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_Toc214959112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5</w:t>
          </w:r>
          <w:r>
            <w:rPr>
              <w:rFonts w:hint="eastAsia" w:asciiTheme="minorEastAsia" w:hAnsiTheme="minorEastAsia" w:eastAsiaTheme="minorEastAsia" w:cstheme="minorEastAsia"/>
              <w:sz w:val="21"/>
              <w:szCs w:val="21"/>
            </w:rPr>
            <w:fldChar w:fldCharType="end"/>
          </w:r>
        </w:p>
        <w:p w14:paraId="2933841C">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胶原II型检测</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_Toc214959113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385FF2C0">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6.4.</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DNA浓度</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_Toc214959114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53F07BA7">
          <w:pPr>
            <w:pStyle w:val="9"/>
            <w:keepNext w:val="0"/>
            <w:keepLines w:val="0"/>
            <w:pageBreakBefore w:val="0"/>
            <w:widowControl/>
            <w:tabs>
              <w:tab w:val="left" w:pos="42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文件要求</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_Toc214959115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4BC48F95">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7.1.</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构建过程记录</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_Toc214959116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4EC51FC5">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7.2.</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质量判定报告</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_Toc214959117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7B609DD5">
          <w:pPr>
            <w:pStyle w:val="9"/>
            <w:keepNext w:val="0"/>
            <w:keepLines w:val="0"/>
            <w:pageBreakBefore w:val="0"/>
            <w:widowControl/>
            <w:tabs>
              <w:tab w:val="left" w:pos="660"/>
              <w:tab w:val="right" w:leader="dot" w:pos="8495"/>
            </w:tabs>
            <w:kinsoku w:val="0"/>
            <w:wordWrap/>
            <w:overflowPunct/>
            <w:topLinePunct w:val="0"/>
            <w:autoSpaceDE w:val="0"/>
            <w:autoSpaceDN w:val="0"/>
            <w:bidi w:val="0"/>
            <w:adjustRightInd w:val="0"/>
            <w:snapToGrid w:val="0"/>
            <w:spacing w:line="276" w:lineRule="auto"/>
            <w:textAlignment w:val="baseline"/>
            <w:rPr>
              <w:rFonts w:hint="eastAsia" w:asciiTheme="minorEastAsia" w:hAnsiTheme="minorEastAsia" w:eastAsiaTheme="minorEastAsia" w:cstheme="minorEastAsia"/>
              <w:snapToGrid/>
              <w:color w:val="auto"/>
              <w:kern w:val="2"/>
              <w:sz w:val="21"/>
              <w:szCs w:val="21"/>
              <w:lang w:eastAsia="zh-CN"/>
              <w14:ligatures w14:val="standardContextual"/>
            </w:rPr>
          </w:pPr>
          <w:r>
            <w:rPr>
              <w:rFonts w:hint="eastAsia" w:asciiTheme="minorEastAsia" w:hAnsiTheme="minorEastAsia" w:eastAsiaTheme="minorEastAsia" w:cstheme="minorEastAsia"/>
              <w:spacing w:val="7"/>
              <w:sz w:val="21"/>
              <w:szCs w:val="21"/>
              <w:lang w:eastAsia="zh-CN"/>
            </w:rPr>
            <w:t>7.3.</w:t>
          </w:r>
          <w:r>
            <w:rPr>
              <w:rFonts w:hint="eastAsia" w:asciiTheme="minorEastAsia" w:hAnsiTheme="minorEastAsia" w:eastAsiaTheme="minorEastAsia" w:cstheme="minorEastAsia"/>
              <w:snapToGrid/>
              <w:color w:val="auto"/>
              <w:kern w:val="2"/>
              <w:sz w:val="21"/>
              <w:szCs w:val="21"/>
              <w:lang w:eastAsia="zh-CN"/>
              <w14:ligatures w14:val="standardContextual"/>
            </w:rPr>
            <w:tab/>
          </w:r>
          <w:r>
            <w:rPr>
              <w:rFonts w:hint="eastAsia" w:asciiTheme="minorEastAsia" w:hAnsiTheme="minorEastAsia" w:eastAsiaTheme="minorEastAsia" w:cstheme="minorEastAsia"/>
              <w:spacing w:val="7"/>
              <w:sz w:val="21"/>
              <w:szCs w:val="21"/>
              <w:lang w:eastAsia="zh-CN"/>
            </w:rPr>
            <w:t>质量追溯</w:t>
          </w:r>
          <w:r>
            <w:rPr>
              <w:rFonts w:hint="eastAsia" w:asciiTheme="minorEastAsia" w:hAnsiTheme="minorEastAsia" w:eastAsiaTheme="minorEastAsia" w:cstheme="minorEastAsia"/>
              <w:sz w:val="21"/>
              <w:szCs w:val="21"/>
              <w:lang w:eastAsia="zh-CN"/>
            </w:rPr>
            <w:tab/>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lang w:eastAsia="zh-CN"/>
            </w:rPr>
            <w:instrText xml:space="preserve"> PAGEREF _Toc214959118 \h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lang w:eastAsia="zh-CN"/>
            </w:rPr>
            <w:t>6</w:t>
          </w:r>
          <w:r>
            <w:rPr>
              <w:rFonts w:hint="eastAsia" w:asciiTheme="minorEastAsia" w:hAnsiTheme="minorEastAsia" w:eastAsiaTheme="minorEastAsia" w:cstheme="minorEastAsia"/>
              <w:sz w:val="21"/>
              <w:szCs w:val="21"/>
            </w:rPr>
            <w:fldChar w:fldCharType="end"/>
          </w:r>
        </w:p>
        <w:p w14:paraId="460E42C0">
          <w:pPr>
            <w:pStyle w:val="9"/>
            <w:keepNext w:val="0"/>
            <w:keepLines w:val="0"/>
            <w:pageBreakBefore w:val="0"/>
            <w:widowControl/>
            <w:tabs>
              <w:tab w:val="right" w:leader="dot" w:pos="8495"/>
            </w:tabs>
            <w:kinsoku w:val="0"/>
            <w:wordWrap/>
            <w:overflowPunct/>
            <w:topLinePunct w:val="0"/>
            <w:autoSpaceDE w:val="0"/>
            <w:autoSpaceDN w:val="0"/>
            <w:bidi w:val="0"/>
            <w:adjustRightInd w:val="0"/>
            <w:snapToGrid w:val="0"/>
            <w:spacing w:before="65" w:line="276" w:lineRule="auto"/>
            <w:ind w:left="8" w:hanging="1"/>
            <w:textAlignment w:val="baseline"/>
            <w:rPr>
              <w:lang w:eastAsia="zh-CN"/>
            </w:rPr>
          </w:pPr>
          <w:r>
            <w:rPr>
              <w:rFonts w:hint="eastAsia" w:asciiTheme="minorEastAsia" w:hAnsiTheme="minorEastAsia" w:eastAsiaTheme="minorEastAsia" w:cstheme="minorEastAsia"/>
              <w:sz w:val="21"/>
              <w:szCs w:val="21"/>
            </w:rPr>
            <w:fldChar w:fldCharType="end"/>
          </w:r>
        </w:p>
        <w:p w14:paraId="780044BE">
          <w:pPr>
            <w:pStyle w:val="9"/>
            <w:tabs>
              <w:tab w:val="right" w:leader="dot" w:pos="8495"/>
            </w:tabs>
            <w:spacing w:before="65" w:line="193" w:lineRule="auto"/>
            <w:ind w:left="8" w:hanging="1"/>
            <w:rPr>
              <w:rFonts w:hint="eastAsia" w:ascii="宋体" w:hAnsi="宋体" w:eastAsia="宋体" w:cs="宋体"/>
              <w:szCs w:val="20"/>
              <w:lang w:eastAsia="zh-CN"/>
            </w:rPr>
            <w:sectPr>
              <w:headerReference r:id="rId9" w:type="first"/>
              <w:footerReference r:id="rId11" w:type="first"/>
              <w:headerReference r:id="rId8" w:type="default"/>
              <w:footerReference r:id="rId10" w:type="default"/>
              <w:pgSz w:w="11906" w:h="16839"/>
              <w:pgMar w:top="1440" w:right="1803" w:bottom="1440" w:left="1803" w:header="850" w:footer="1106" w:gutter="0"/>
              <w:cols w:space="720" w:num="1"/>
              <w:titlePg/>
              <w:docGrid w:linePitch="286" w:charSpace="0"/>
            </w:sectPr>
          </w:pPr>
        </w:p>
      </w:sdtContent>
    </w:sdt>
    <w:p w14:paraId="6FAAC64A">
      <w:pPr>
        <w:pStyle w:val="6"/>
        <w:spacing w:before="101" w:line="228" w:lineRule="auto"/>
        <w:ind w:left="4253"/>
        <w:outlineLvl w:val="0"/>
        <w:rPr>
          <w:rFonts w:hint="eastAsia"/>
          <w:spacing w:val="-2"/>
          <w:sz w:val="31"/>
          <w:szCs w:val="31"/>
          <w:lang w:eastAsia="zh-CN"/>
        </w:rPr>
      </w:pPr>
      <w:bookmarkStart w:id="7" w:name="bookmark2"/>
      <w:bookmarkEnd w:id="7"/>
      <w:bookmarkStart w:id="8" w:name="bookmark1"/>
      <w:bookmarkEnd w:id="8"/>
    </w:p>
    <w:p w14:paraId="0585ED56">
      <w:pPr>
        <w:pStyle w:val="6"/>
        <w:spacing w:before="101" w:line="228" w:lineRule="auto"/>
        <w:ind w:left="4253"/>
        <w:outlineLvl w:val="0"/>
        <w:rPr>
          <w:rFonts w:hint="eastAsia"/>
          <w:sz w:val="31"/>
          <w:szCs w:val="31"/>
          <w:lang w:eastAsia="zh-CN"/>
        </w:rPr>
      </w:pPr>
      <w:bookmarkStart w:id="9" w:name="_Toc214959098"/>
      <w:bookmarkStart w:id="10" w:name="_Toc22449"/>
      <w:r>
        <w:rPr>
          <w:spacing w:val="-2"/>
          <w:sz w:val="31"/>
          <w:szCs w:val="31"/>
          <w:lang w:eastAsia="zh-CN"/>
        </w:rPr>
        <w:t>前</w:t>
      </w:r>
      <w:r>
        <w:rPr>
          <w:spacing w:val="11"/>
          <w:sz w:val="31"/>
          <w:szCs w:val="31"/>
          <w:lang w:eastAsia="zh-CN"/>
        </w:rPr>
        <w:t xml:space="preserve">    </w:t>
      </w:r>
      <w:r>
        <w:rPr>
          <w:spacing w:val="-2"/>
          <w:sz w:val="31"/>
          <w:szCs w:val="31"/>
          <w:lang w:eastAsia="zh-CN"/>
        </w:rPr>
        <w:t>言</w:t>
      </w:r>
      <w:bookmarkEnd w:id="9"/>
      <w:bookmarkEnd w:id="10"/>
    </w:p>
    <w:p w14:paraId="7DEEB7CF">
      <w:pPr>
        <w:spacing w:line="360" w:lineRule="auto"/>
        <w:rPr>
          <w:lang w:eastAsia="zh-CN"/>
        </w:rPr>
      </w:pPr>
    </w:p>
    <w:p w14:paraId="4A0E698C">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本文件按照</w:t>
      </w:r>
      <w:r>
        <w:rPr>
          <w:rFonts w:ascii="宋体" w:hAnsi="宋体" w:eastAsia="宋体" w:cs="宋体"/>
          <w:spacing w:val="9"/>
          <w:sz w:val="21"/>
          <w:szCs w:val="21"/>
          <w:lang w:eastAsia="zh-CN"/>
        </w:rPr>
        <w:t xml:space="preserve">GB/T 1.1—2020 </w:t>
      </w:r>
      <w:r>
        <w:rPr>
          <w:rFonts w:hint="eastAsia" w:ascii="宋体" w:hAnsi="宋体" w:eastAsia="宋体" w:cs="宋体"/>
          <w:spacing w:val="9"/>
          <w:sz w:val="21"/>
          <w:szCs w:val="21"/>
          <w:lang w:eastAsia="zh-CN"/>
        </w:rPr>
        <w:t>《标准化工作导则</w:t>
      </w:r>
      <w:r>
        <w:rPr>
          <w:rFonts w:ascii="宋体" w:hAnsi="宋体" w:eastAsia="宋体" w:cs="宋体"/>
          <w:spacing w:val="9"/>
          <w:sz w:val="21"/>
          <w:szCs w:val="21"/>
          <w:lang w:eastAsia="zh-CN"/>
        </w:rPr>
        <w:t xml:space="preserve"> </w:t>
      </w:r>
      <w:r>
        <w:rPr>
          <w:rFonts w:hint="eastAsia" w:ascii="宋体" w:hAnsi="宋体" w:eastAsia="宋体" w:cs="宋体"/>
          <w:spacing w:val="9"/>
          <w:sz w:val="21"/>
          <w:szCs w:val="21"/>
          <w:lang w:eastAsia="zh-CN"/>
        </w:rPr>
        <w:t>第</w:t>
      </w:r>
      <w:r>
        <w:rPr>
          <w:rFonts w:ascii="宋体" w:hAnsi="宋体" w:eastAsia="宋体" w:cs="宋体"/>
          <w:spacing w:val="9"/>
          <w:sz w:val="21"/>
          <w:szCs w:val="21"/>
          <w:lang w:eastAsia="zh-CN"/>
        </w:rPr>
        <w:t>1</w:t>
      </w:r>
      <w:r>
        <w:rPr>
          <w:rFonts w:hint="eastAsia" w:ascii="宋体" w:hAnsi="宋体" w:eastAsia="宋体" w:cs="宋体"/>
          <w:spacing w:val="9"/>
          <w:sz w:val="21"/>
          <w:szCs w:val="21"/>
          <w:lang w:eastAsia="zh-CN"/>
        </w:rPr>
        <w:t>部分：标准化文件的结构和起草规则》的规定起草。</w:t>
      </w:r>
    </w:p>
    <w:p w14:paraId="25F408B0">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请注意本文件的某些内容可能涉及专利。本文件的发布机构不承担识别这些专利的责任。</w:t>
      </w:r>
    </w:p>
    <w:p w14:paraId="1DFDFFD6">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本文件由上海交通大学医学院附属第九人民医院提出。</w:t>
      </w:r>
    </w:p>
    <w:p w14:paraId="296A2D55">
      <w:pPr>
        <w:pStyle w:val="43"/>
        <w:spacing w:line="360" w:lineRule="auto"/>
        <w:ind w:firstLine="420"/>
        <w:rPr>
          <w:rFonts w:hint="eastAsia" w:asciiTheme="minorEastAsia" w:hAnsiTheme="minorEastAsia"/>
          <w:sz w:val="21"/>
          <w:szCs w:val="21"/>
        </w:rPr>
      </w:pPr>
      <w:r>
        <w:rPr>
          <w:rFonts w:hint="eastAsia" w:asciiTheme="minorEastAsia" w:hAnsiTheme="minorEastAsia" w:eastAsiaTheme="minorEastAsia"/>
          <w:sz w:val="21"/>
          <w:szCs w:val="21"/>
        </w:rPr>
        <w:t>本标准由中国食品药品企业质量安全促进会提出并归口。</w:t>
      </w:r>
    </w:p>
    <w:p w14:paraId="752C9CA6">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本文件主要起草单位：。</w:t>
      </w:r>
    </w:p>
    <w:p w14:paraId="4B8270A2">
      <w:pPr>
        <w:spacing w:line="360" w:lineRule="auto"/>
        <w:ind w:firstLine="42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参与起草单位：。</w:t>
      </w:r>
    </w:p>
    <w:p w14:paraId="6627D915">
      <w:pPr>
        <w:spacing w:line="360" w:lineRule="auto"/>
        <w:ind w:firstLine="420"/>
        <w:rPr>
          <w:rFonts w:hint="eastAsia" w:ascii="宋体" w:hAnsi="宋体" w:eastAsia="宋体" w:cs="宋体"/>
          <w:sz w:val="21"/>
          <w:szCs w:val="21"/>
          <w:lang w:eastAsia="zh-CN"/>
        </w:rPr>
        <w:sectPr>
          <w:footerReference r:id="rId12" w:type="default"/>
          <w:pgSz w:w="11906" w:h="16839"/>
          <w:pgMar w:top="1431" w:right="1063" w:bottom="1560" w:left="1423" w:header="850" w:footer="1134" w:gutter="0"/>
          <w:cols w:space="720" w:num="1"/>
          <w:docGrid w:linePitch="286" w:charSpace="0"/>
        </w:sectPr>
      </w:pPr>
      <w:r>
        <w:rPr>
          <w:rFonts w:hint="eastAsia" w:ascii="宋体" w:hAnsi="宋体" w:eastAsia="宋体" w:cs="宋体"/>
          <w:spacing w:val="9"/>
          <w:sz w:val="21"/>
          <w:szCs w:val="21"/>
          <w:lang w:eastAsia="zh-CN"/>
        </w:rPr>
        <w:t>本文件主要起草人：。</w:t>
      </w:r>
    </w:p>
    <w:p w14:paraId="21BFD97E">
      <w:pPr>
        <w:spacing w:line="465" w:lineRule="auto"/>
        <w:jc w:val="center"/>
        <w:rPr>
          <w:lang w:eastAsia="zh-CN"/>
        </w:rPr>
      </w:pPr>
      <w:r>
        <w:rPr>
          <w:rFonts w:hint="eastAsia" w:ascii="黑体" w:hAnsi="黑体" w:eastAsia="黑体" w:cs="黑体"/>
          <w:spacing w:val="9"/>
          <w:sz w:val="31"/>
          <w:szCs w:val="31"/>
          <w:lang w:eastAsia="zh-CN"/>
        </w:rPr>
        <w:t>组织工程产品</w:t>
      </w:r>
      <w:r>
        <w:rPr>
          <w:rFonts w:ascii="黑体" w:hAnsi="黑体" w:eastAsia="黑体" w:cs="黑体"/>
          <w:spacing w:val="9"/>
          <w:sz w:val="31"/>
          <w:szCs w:val="31"/>
          <w:lang w:eastAsia="zh-CN"/>
        </w:rPr>
        <w:t xml:space="preserve"> </w:t>
      </w:r>
      <w:r>
        <w:rPr>
          <w:rFonts w:hint="eastAsia" w:ascii="黑体" w:hAnsi="黑体" w:eastAsia="黑体" w:cs="黑体"/>
          <w:spacing w:val="9"/>
          <w:sz w:val="31"/>
          <w:szCs w:val="31"/>
          <w:lang w:eastAsia="zh-CN"/>
        </w:rPr>
        <w:t>含细胞组织工程软骨体外构建质量要求</w:t>
      </w:r>
    </w:p>
    <w:p w14:paraId="5807689A">
      <w:pPr>
        <w:pStyle w:val="6"/>
        <w:numPr>
          <w:ilvl w:val="0"/>
          <w:numId w:val="1"/>
        </w:numPr>
        <w:spacing w:before="265" w:line="230" w:lineRule="auto"/>
        <w:outlineLvl w:val="0"/>
        <w:rPr>
          <w:rFonts w:hint="eastAsia"/>
          <w:sz w:val="20"/>
          <w:szCs w:val="20"/>
          <w:lang w:eastAsia="zh-CN"/>
        </w:rPr>
      </w:pPr>
      <w:bookmarkStart w:id="11" w:name="bookmark3"/>
      <w:bookmarkEnd w:id="11"/>
      <w:bookmarkStart w:id="12" w:name="_Toc214959099"/>
      <w:bookmarkStart w:id="13" w:name="_Toc22925"/>
      <w:r>
        <w:rPr>
          <w:spacing w:val="7"/>
          <w:sz w:val="20"/>
          <w:szCs w:val="20"/>
          <w:lang w:eastAsia="zh-CN"/>
        </w:rPr>
        <w:t>范围</w:t>
      </w:r>
      <w:bookmarkEnd w:id="12"/>
      <w:bookmarkEnd w:id="13"/>
    </w:p>
    <w:p w14:paraId="0B27EB68">
      <w:pPr>
        <w:spacing w:before="260" w:line="360" w:lineRule="auto"/>
        <w:ind w:left="8" w:firstLine="418"/>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本文件规定了含细胞组织工程软骨体外构建过程的质量要求，包括体外构建过程控制、质量控制要求和检测方法。</w:t>
      </w:r>
    </w:p>
    <w:p w14:paraId="377418DD">
      <w:pPr>
        <w:spacing w:before="260" w:line="360" w:lineRule="auto"/>
        <w:ind w:left="8" w:firstLine="418"/>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本文件适用于</w:t>
      </w:r>
      <w:r>
        <w:rPr>
          <w:rFonts w:ascii="宋体" w:hAnsi="宋体" w:eastAsia="宋体" w:cs="宋体"/>
          <w:spacing w:val="9"/>
          <w:sz w:val="21"/>
          <w:szCs w:val="21"/>
          <w:lang w:eastAsia="zh-CN"/>
        </w:rPr>
        <w:t>用组织工程技术和工艺制备的,用于替代、修复或再生组织、器官和(或)其结构和功能的医用产品，不包括传统的组织和器官移植以及体细胞及基因治疗产品</w:t>
      </w:r>
      <w:r>
        <w:rPr>
          <w:rFonts w:hint="eastAsia" w:ascii="宋体" w:hAnsi="宋体" w:eastAsia="宋体" w:cs="宋体"/>
          <w:spacing w:val="9"/>
          <w:sz w:val="21"/>
          <w:szCs w:val="21"/>
          <w:lang w:eastAsia="zh-CN"/>
        </w:rPr>
        <w:t>。</w:t>
      </w:r>
    </w:p>
    <w:p w14:paraId="6A1E6804">
      <w:pPr>
        <w:spacing w:before="260" w:line="360" w:lineRule="auto"/>
        <w:ind w:left="8" w:firstLine="418"/>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本文件不适用于原材料质量评价和植入后体内评价。</w:t>
      </w:r>
    </w:p>
    <w:p w14:paraId="23856A64">
      <w:pPr>
        <w:pStyle w:val="6"/>
        <w:numPr>
          <w:ilvl w:val="0"/>
          <w:numId w:val="1"/>
        </w:numPr>
        <w:spacing w:before="265" w:line="360" w:lineRule="auto"/>
        <w:outlineLvl w:val="0"/>
        <w:rPr>
          <w:rFonts w:hint="eastAsia"/>
          <w:spacing w:val="7"/>
          <w:sz w:val="20"/>
          <w:szCs w:val="20"/>
          <w:lang w:eastAsia="zh-CN"/>
        </w:rPr>
      </w:pPr>
      <w:bookmarkStart w:id="14" w:name="_Toc20672"/>
      <w:bookmarkStart w:id="15" w:name="_Toc214959100"/>
      <w:r>
        <w:rPr>
          <w:spacing w:val="7"/>
          <w:sz w:val="20"/>
          <w:szCs w:val="20"/>
          <w:lang w:eastAsia="zh-CN"/>
        </w:rPr>
        <w:t>规范性引用文件</w:t>
      </w:r>
      <w:bookmarkEnd w:id="14"/>
      <w:bookmarkEnd w:id="15"/>
    </w:p>
    <w:p w14:paraId="504F4AFB">
      <w:pPr>
        <w:spacing w:before="263" w:line="360" w:lineRule="auto"/>
        <w:ind w:left="3" w:right="4" w:firstLine="428"/>
        <w:jc w:val="both"/>
        <w:rPr>
          <w:rFonts w:hint="eastAsia" w:ascii="宋体" w:hAnsi="宋体" w:eastAsia="宋体" w:cs="宋体"/>
          <w:sz w:val="21"/>
          <w:szCs w:val="21"/>
          <w:lang w:eastAsia="zh-CN"/>
        </w:rPr>
      </w:pPr>
      <w:r>
        <w:rPr>
          <w:rFonts w:ascii="宋体" w:hAnsi="宋体" w:eastAsia="宋体" w:cs="宋体"/>
          <w:spacing w:val="4"/>
          <w:sz w:val="21"/>
          <w:szCs w:val="21"/>
          <w:lang w:eastAsia="zh-CN"/>
        </w:rPr>
        <w:t>下列文件中的内容通过文中的规范性引用而构成本文件必不可少的条款。其中，注日期的引用文</w:t>
      </w:r>
      <w:r>
        <w:rPr>
          <w:rFonts w:ascii="宋体" w:hAnsi="宋体" w:eastAsia="宋体" w:cs="宋体"/>
          <w:spacing w:val="3"/>
          <w:sz w:val="21"/>
          <w:szCs w:val="21"/>
          <w:lang w:eastAsia="zh-CN"/>
        </w:rPr>
        <w:t>件，</w:t>
      </w:r>
      <w:r>
        <w:rPr>
          <w:rFonts w:ascii="宋体" w:hAnsi="宋体" w:eastAsia="宋体" w:cs="宋体"/>
          <w:spacing w:val="8"/>
          <w:sz w:val="21"/>
          <w:szCs w:val="21"/>
          <w:lang w:eastAsia="zh-CN"/>
        </w:rPr>
        <w:t>仅该日期对应的版本适用于本文件；不注日期的引用文件，其最新版</w:t>
      </w:r>
      <w:r>
        <w:rPr>
          <w:rFonts w:ascii="宋体" w:hAnsi="宋体" w:eastAsia="宋体" w:cs="宋体"/>
          <w:spacing w:val="7"/>
          <w:sz w:val="21"/>
          <w:szCs w:val="21"/>
          <w:lang w:eastAsia="zh-CN"/>
        </w:rPr>
        <w:t>本（包括所有的修改单）适用于本</w:t>
      </w:r>
      <w:r>
        <w:rPr>
          <w:rFonts w:ascii="宋体" w:hAnsi="宋体" w:eastAsia="宋体" w:cs="宋体"/>
          <w:spacing w:val="3"/>
          <w:sz w:val="21"/>
          <w:szCs w:val="21"/>
          <w:lang w:eastAsia="zh-CN"/>
        </w:rPr>
        <w:t>文件。</w:t>
      </w:r>
    </w:p>
    <w:p w14:paraId="08338686">
      <w:pPr>
        <w:shd w:val="clear" w:color="auto" w:fill="FFFFFF"/>
        <w:spacing w:line="360" w:lineRule="auto"/>
        <w:ind w:firstLine="436" w:firstLineChars="200"/>
        <w:rPr>
          <w:rFonts w:hint="eastAsia" w:ascii="宋体" w:hAnsi="宋体" w:eastAsia="宋体" w:cs="宋体"/>
          <w:spacing w:val="4"/>
          <w:sz w:val="21"/>
          <w:szCs w:val="21"/>
          <w:lang w:eastAsia="zh-CN"/>
        </w:rPr>
      </w:pPr>
      <w:r>
        <w:rPr>
          <w:rFonts w:ascii="宋体" w:hAnsi="宋体" w:eastAsia="宋体" w:cs="宋体"/>
          <w:spacing w:val="4"/>
          <w:sz w:val="21"/>
          <w:szCs w:val="21"/>
          <w:lang w:eastAsia="zh-CN"/>
        </w:rPr>
        <w:t xml:space="preserve">YY/T 1810—2022 </w:t>
      </w:r>
      <w:r>
        <w:rPr>
          <w:rFonts w:hint="eastAsia" w:ascii="宋体" w:hAnsi="宋体" w:eastAsia="宋体" w:cs="宋体"/>
          <w:spacing w:val="4"/>
          <w:sz w:val="21"/>
          <w:szCs w:val="21"/>
          <w:lang w:eastAsia="zh-CN"/>
        </w:rPr>
        <w:t>组织工程医疗产品</w:t>
      </w:r>
      <w:r>
        <w:rPr>
          <w:rFonts w:ascii="宋体" w:hAnsi="宋体" w:eastAsia="宋体" w:cs="宋体"/>
          <w:spacing w:val="4"/>
          <w:sz w:val="21"/>
          <w:szCs w:val="21"/>
          <w:lang w:eastAsia="zh-CN"/>
        </w:rPr>
        <w:t xml:space="preserve"> </w:t>
      </w:r>
      <w:r>
        <w:rPr>
          <w:rFonts w:hint="eastAsia" w:ascii="宋体" w:hAnsi="宋体" w:eastAsia="宋体" w:cs="宋体"/>
          <w:spacing w:val="4"/>
          <w:sz w:val="21"/>
          <w:szCs w:val="21"/>
          <w:lang w:eastAsia="zh-CN"/>
        </w:rPr>
        <w:t>用以评价软骨形成的硫酸糖胺聚糖</w:t>
      </w:r>
      <w:r>
        <w:rPr>
          <w:rFonts w:ascii="宋体" w:hAnsi="宋体" w:eastAsia="宋体" w:cs="宋体"/>
          <w:spacing w:val="4"/>
          <w:sz w:val="21"/>
          <w:szCs w:val="21"/>
          <w:lang w:eastAsia="zh-CN"/>
        </w:rPr>
        <w:t>(sGAG)</w:t>
      </w:r>
      <w:r>
        <w:rPr>
          <w:rFonts w:hint="eastAsia" w:ascii="宋体" w:hAnsi="宋体" w:eastAsia="宋体" w:cs="宋体"/>
          <w:spacing w:val="4"/>
          <w:sz w:val="21"/>
          <w:szCs w:val="21"/>
          <w:lang w:eastAsia="zh-CN"/>
        </w:rPr>
        <w:t>的定量检测</w:t>
      </w:r>
    </w:p>
    <w:p w14:paraId="57325600">
      <w:pPr>
        <w:pStyle w:val="6"/>
        <w:numPr>
          <w:ilvl w:val="0"/>
          <w:numId w:val="1"/>
        </w:numPr>
        <w:spacing w:before="265" w:line="360" w:lineRule="auto"/>
        <w:outlineLvl w:val="0"/>
        <w:rPr>
          <w:rFonts w:hint="eastAsia"/>
          <w:spacing w:val="7"/>
          <w:sz w:val="20"/>
          <w:szCs w:val="20"/>
          <w:lang w:eastAsia="zh-CN"/>
        </w:rPr>
      </w:pPr>
      <w:bookmarkStart w:id="16" w:name="bookmark8"/>
      <w:bookmarkEnd w:id="16"/>
      <w:bookmarkStart w:id="17" w:name="bookmark7"/>
      <w:bookmarkEnd w:id="17"/>
      <w:bookmarkStart w:id="18" w:name="_Toc214959101"/>
      <w:bookmarkStart w:id="19" w:name="_Toc24062"/>
      <w:r>
        <w:rPr>
          <w:spacing w:val="7"/>
          <w:sz w:val="20"/>
          <w:szCs w:val="20"/>
          <w:lang w:eastAsia="zh-CN"/>
        </w:rPr>
        <w:t>术语和定义</w:t>
      </w:r>
      <w:bookmarkEnd w:id="18"/>
      <w:bookmarkEnd w:id="19"/>
    </w:p>
    <w:p w14:paraId="1B1AF457">
      <w:pPr>
        <w:pStyle w:val="6"/>
        <w:spacing w:before="263" w:line="360" w:lineRule="auto"/>
        <w:ind w:left="5" w:right="766" w:firstLine="426"/>
        <w:rPr>
          <w:spacing w:val="2"/>
          <w:sz w:val="20"/>
          <w:szCs w:val="20"/>
          <w:lang w:eastAsia="zh-CN"/>
        </w:rPr>
      </w:pPr>
      <w:r>
        <w:rPr>
          <w:rFonts w:ascii="宋体" w:hAnsi="宋体" w:eastAsia="宋体" w:cs="宋体"/>
          <w:spacing w:val="6"/>
          <w:sz w:val="21"/>
          <w:szCs w:val="21"/>
          <w:lang w:eastAsia="zh-CN"/>
        </w:rPr>
        <w:t>YY/T 1445—2016</w:t>
      </w:r>
      <w:r>
        <w:rPr>
          <w:rFonts w:hint="eastAsia" w:ascii="宋体" w:hAnsi="宋体" w:eastAsia="宋体" w:cs="宋体"/>
          <w:spacing w:val="6"/>
          <w:sz w:val="21"/>
          <w:szCs w:val="21"/>
          <w:lang w:eastAsia="zh-CN"/>
        </w:rPr>
        <w:t>界定的以及</w:t>
      </w:r>
      <w:r>
        <w:rPr>
          <w:rFonts w:ascii="宋体" w:hAnsi="宋体" w:eastAsia="宋体" w:cs="宋体"/>
          <w:spacing w:val="6"/>
          <w:sz w:val="21"/>
          <w:szCs w:val="21"/>
          <w:lang w:eastAsia="zh-CN"/>
        </w:rPr>
        <w:t>下列术语和定义适用于本文件。</w:t>
      </w:r>
    </w:p>
    <w:p w14:paraId="22D84A34">
      <w:pPr>
        <w:pStyle w:val="6"/>
        <w:spacing w:before="263" w:line="360" w:lineRule="auto"/>
        <w:ind w:right="766"/>
        <w:rPr>
          <w:rFonts w:hint="eastAsia"/>
          <w:spacing w:val="16"/>
          <w:sz w:val="20"/>
          <w:szCs w:val="20"/>
          <w:lang w:eastAsia="zh-CN"/>
        </w:rPr>
      </w:pPr>
      <w:r>
        <w:rPr>
          <w:spacing w:val="2"/>
          <w:sz w:val="20"/>
          <w:szCs w:val="20"/>
          <w:lang w:eastAsia="zh-CN"/>
        </w:rPr>
        <w:t>3.1</w:t>
      </w:r>
      <w:r>
        <w:rPr>
          <w:spacing w:val="16"/>
          <w:sz w:val="20"/>
          <w:szCs w:val="20"/>
          <w:lang w:eastAsia="zh-CN"/>
        </w:rPr>
        <w:t>细胞贴附率 cell adhesion rate</w:t>
      </w:r>
    </w:p>
    <w:p w14:paraId="2766E1E1">
      <w:pPr>
        <w:spacing w:before="27" w:line="360" w:lineRule="auto"/>
        <w:ind w:left="6" w:right="61" w:firstLine="420"/>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接种后一定时间内成功附着于支架或培养表面的细胞数量占总接种细胞数量的百分比。</w:t>
      </w:r>
    </w:p>
    <w:p w14:paraId="386C0F61">
      <w:pPr>
        <w:pStyle w:val="6"/>
        <w:spacing w:before="58" w:line="360" w:lineRule="auto"/>
        <w:rPr>
          <w:spacing w:val="2"/>
          <w:sz w:val="20"/>
          <w:szCs w:val="20"/>
        </w:rPr>
      </w:pPr>
    </w:p>
    <w:p w14:paraId="55F004FA">
      <w:pPr>
        <w:pStyle w:val="6"/>
        <w:spacing w:before="58" w:line="360" w:lineRule="auto"/>
        <w:rPr>
          <w:rFonts w:hint="eastAsia"/>
          <w:spacing w:val="18"/>
          <w:sz w:val="20"/>
          <w:szCs w:val="20"/>
          <w:lang w:eastAsia="zh-CN"/>
        </w:rPr>
      </w:pPr>
      <w:r>
        <w:rPr>
          <w:spacing w:val="2"/>
          <w:sz w:val="20"/>
          <w:szCs w:val="20"/>
        </w:rPr>
        <w:t>3.2</w:t>
      </w:r>
      <w:r>
        <w:rPr>
          <w:rFonts w:hint="eastAsia"/>
          <w:spacing w:val="18"/>
          <w:sz w:val="20"/>
          <w:szCs w:val="20"/>
          <w:lang w:eastAsia="zh-CN"/>
        </w:rPr>
        <w:t xml:space="preserve">体外构建 </w:t>
      </w:r>
      <w:r>
        <w:rPr>
          <w:spacing w:val="18"/>
          <w:sz w:val="20"/>
          <w:szCs w:val="20"/>
          <w:lang w:eastAsia="zh-CN"/>
        </w:rPr>
        <w:t>Extracorporeal construction</w:t>
      </w:r>
    </w:p>
    <w:p w14:paraId="49E00572">
      <w:pPr>
        <w:spacing w:before="27" w:line="360" w:lineRule="auto"/>
        <w:ind w:left="6" w:right="61" w:firstLine="420"/>
        <w:rPr>
          <w:rFonts w:hint="eastAsia" w:ascii="宋体" w:hAnsi="宋体" w:eastAsia="宋体" w:cs="宋体"/>
          <w:spacing w:val="8"/>
          <w:sz w:val="21"/>
          <w:szCs w:val="21"/>
          <w:lang w:eastAsia="zh-CN"/>
        </w:rPr>
      </w:pPr>
      <w:r>
        <w:rPr>
          <w:rFonts w:ascii="宋体" w:hAnsi="宋体" w:eastAsia="宋体" w:cs="宋体"/>
          <w:spacing w:val="8"/>
          <w:sz w:val="21"/>
          <w:szCs w:val="21"/>
          <w:lang w:eastAsia="zh-CN"/>
        </w:rPr>
        <w:t>在体外环境中，通过细胞与支架材料相互作用形成具有功能的组织结构的过程。</w:t>
      </w:r>
    </w:p>
    <w:p w14:paraId="14F91F39">
      <w:pPr>
        <w:pStyle w:val="6"/>
        <w:spacing w:before="59" w:line="360" w:lineRule="auto"/>
        <w:ind w:left="5"/>
        <w:rPr>
          <w:spacing w:val="2"/>
          <w:sz w:val="20"/>
          <w:szCs w:val="20"/>
          <w:lang w:eastAsia="zh-CN"/>
        </w:rPr>
      </w:pPr>
    </w:p>
    <w:p w14:paraId="1B0BB714">
      <w:pPr>
        <w:pStyle w:val="6"/>
        <w:spacing w:before="59" w:line="360" w:lineRule="auto"/>
        <w:ind w:left="5"/>
        <w:rPr>
          <w:rFonts w:hint="eastAsia"/>
          <w:spacing w:val="16"/>
          <w:sz w:val="20"/>
          <w:szCs w:val="20"/>
          <w:lang w:eastAsia="zh-CN"/>
        </w:rPr>
      </w:pPr>
      <w:r>
        <w:rPr>
          <w:spacing w:val="2"/>
          <w:sz w:val="20"/>
          <w:szCs w:val="20"/>
          <w:lang w:eastAsia="zh-CN"/>
        </w:rPr>
        <w:t>3.3</w:t>
      </w:r>
      <w:r>
        <w:rPr>
          <w:rFonts w:hint="eastAsia"/>
          <w:spacing w:val="16"/>
          <w:sz w:val="20"/>
          <w:szCs w:val="20"/>
          <w:lang w:eastAsia="zh-CN"/>
        </w:rPr>
        <w:t xml:space="preserve">DNA浓度 </w:t>
      </w:r>
      <w:r>
        <w:rPr>
          <w:spacing w:val="16"/>
          <w:sz w:val="20"/>
          <w:szCs w:val="20"/>
          <w:lang w:eastAsia="zh-CN"/>
        </w:rPr>
        <w:t>DNA concentration</w:t>
      </w:r>
    </w:p>
    <w:p w14:paraId="772CDDC7">
      <w:pPr>
        <w:spacing w:before="23" w:line="360" w:lineRule="auto"/>
        <w:ind w:left="11" w:right="58" w:firstLine="417"/>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单位体积溶液中所含有的脱氧核糖核酸（</w:t>
      </w:r>
      <w:r>
        <w:rPr>
          <w:rFonts w:ascii="宋体" w:hAnsi="宋体" w:eastAsia="宋体" w:cs="宋体"/>
          <w:spacing w:val="9"/>
          <w:sz w:val="21"/>
          <w:szCs w:val="21"/>
          <w:lang w:eastAsia="zh-CN"/>
        </w:rPr>
        <w:t>DNA</w:t>
      </w:r>
      <w:r>
        <w:rPr>
          <w:rFonts w:hint="eastAsia" w:ascii="宋体" w:hAnsi="宋体" w:eastAsia="宋体" w:cs="宋体"/>
          <w:spacing w:val="9"/>
          <w:sz w:val="21"/>
          <w:szCs w:val="21"/>
          <w:lang w:eastAsia="zh-CN"/>
        </w:rPr>
        <w:t>）的质量</w:t>
      </w:r>
      <w:r>
        <w:rPr>
          <w:rFonts w:ascii="宋体" w:hAnsi="宋体" w:eastAsia="宋体" w:cs="宋体"/>
          <w:spacing w:val="9"/>
          <w:sz w:val="21"/>
          <w:szCs w:val="21"/>
          <w:lang w:eastAsia="zh-CN"/>
        </w:rPr>
        <w:t>。</w:t>
      </w:r>
    </w:p>
    <w:p w14:paraId="39533EA7">
      <w:pPr>
        <w:pStyle w:val="6"/>
        <w:numPr>
          <w:ilvl w:val="0"/>
          <w:numId w:val="1"/>
        </w:numPr>
        <w:spacing w:before="265" w:line="360" w:lineRule="auto"/>
        <w:outlineLvl w:val="0"/>
        <w:rPr>
          <w:rFonts w:hint="eastAsia"/>
          <w:spacing w:val="7"/>
          <w:sz w:val="20"/>
          <w:szCs w:val="20"/>
          <w:lang w:eastAsia="zh-CN"/>
        </w:rPr>
      </w:pPr>
      <w:bookmarkStart w:id="20" w:name="_Toc25136"/>
      <w:bookmarkStart w:id="21" w:name="_Toc214959102"/>
      <w:r>
        <w:rPr>
          <w:rFonts w:hint="eastAsia"/>
          <w:spacing w:val="7"/>
          <w:sz w:val="20"/>
          <w:szCs w:val="20"/>
          <w:lang w:eastAsia="zh-CN"/>
        </w:rPr>
        <w:t>体外构建过程控制</w:t>
      </w:r>
      <w:bookmarkEnd w:id="20"/>
      <w:bookmarkEnd w:id="21"/>
    </w:p>
    <w:p w14:paraId="64E5F446">
      <w:pPr>
        <w:pStyle w:val="6"/>
        <w:numPr>
          <w:ilvl w:val="1"/>
          <w:numId w:val="1"/>
        </w:numPr>
        <w:spacing w:before="265" w:line="360" w:lineRule="auto"/>
        <w:outlineLvl w:val="0"/>
        <w:rPr>
          <w:rFonts w:hint="eastAsia"/>
          <w:spacing w:val="7"/>
          <w:sz w:val="20"/>
          <w:szCs w:val="20"/>
          <w:lang w:eastAsia="zh-CN"/>
        </w:rPr>
      </w:pPr>
      <w:bookmarkStart w:id="22" w:name="_Toc1156"/>
      <w:bookmarkStart w:id="23" w:name="_Toc214959103"/>
      <w:r>
        <w:rPr>
          <w:rFonts w:hint="eastAsia"/>
          <w:spacing w:val="7"/>
          <w:sz w:val="20"/>
          <w:szCs w:val="20"/>
          <w:lang w:eastAsia="zh-CN"/>
        </w:rPr>
        <w:t>构建阶段定义</w:t>
      </w:r>
      <w:bookmarkEnd w:id="22"/>
      <w:bookmarkEnd w:id="23"/>
    </w:p>
    <w:p w14:paraId="64D90109">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体外构建阶段起始于细胞接种完成时刻，终止于达到功能成熟指标，构建周期不应超过28天。</w:t>
      </w:r>
    </w:p>
    <w:p w14:paraId="7409ADC7">
      <w:pPr>
        <w:pStyle w:val="6"/>
        <w:numPr>
          <w:ilvl w:val="1"/>
          <w:numId w:val="1"/>
        </w:numPr>
        <w:spacing w:before="265" w:line="360" w:lineRule="auto"/>
        <w:outlineLvl w:val="0"/>
        <w:rPr>
          <w:rFonts w:hint="eastAsia"/>
          <w:spacing w:val="7"/>
          <w:sz w:val="20"/>
          <w:szCs w:val="20"/>
          <w:lang w:eastAsia="zh-CN"/>
        </w:rPr>
      </w:pPr>
      <w:bookmarkStart w:id="24" w:name="_Toc14525"/>
      <w:bookmarkStart w:id="25" w:name="_Toc214959104"/>
      <w:r>
        <w:rPr>
          <w:rFonts w:hint="eastAsia"/>
          <w:spacing w:val="7"/>
          <w:sz w:val="20"/>
          <w:szCs w:val="20"/>
          <w:lang w:eastAsia="zh-CN"/>
        </w:rPr>
        <w:t>细胞准备与接种</w:t>
      </w:r>
      <w:bookmarkEnd w:id="24"/>
      <w:bookmarkEnd w:id="25"/>
    </w:p>
    <w:p w14:paraId="104E7D94">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细胞来源应符合《细胞治疗产品生产质量管理指南》要求，进行传染病和遗传病筛查，细胞代次应控制在P3-P5代。</w:t>
      </w:r>
    </w:p>
    <w:p w14:paraId="3417006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细胞接种密度应不低于(1-5)×10</w:t>
      </w:r>
      <w:r>
        <w:rPr>
          <w:rFonts w:ascii="Cambria Math" w:hAnsi="Cambria Math" w:eastAsia="宋体" w:cs="Cambria Math"/>
          <w:spacing w:val="9"/>
          <w:sz w:val="21"/>
          <w:szCs w:val="21"/>
          <w:lang w:eastAsia="zh-CN"/>
        </w:rPr>
        <w:t>⁷</w:t>
      </w:r>
      <w:r>
        <w:rPr>
          <w:rFonts w:ascii="宋体" w:hAnsi="宋体" w:eastAsia="宋体" w:cs="宋体"/>
          <w:spacing w:val="9"/>
          <w:sz w:val="21"/>
          <w:szCs w:val="21"/>
          <w:lang w:eastAsia="zh-CN"/>
        </w:rPr>
        <w:t xml:space="preserve"> cells/mL，具体值应根据支架类型确定。</w:t>
      </w:r>
    </w:p>
    <w:p w14:paraId="2435529A">
      <w:pPr>
        <w:pStyle w:val="6"/>
        <w:numPr>
          <w:ilvl w:val="1"/>
          <w:numId w:val="1"/>
        </w:numPr>
        <w:spacing w:before="265" w:line="360" w:lineRule="auto"/>
        <w:outlineLvl w:val="0"/>
        <w:rPr>
          <w:rFonts w:hint="eastAsia"/>
          <w:spacing w:val="7"/>
          <w:sz w:val="20"/>
          <w:szCs w:val="20"/>
          <w:lang w:eastAsia="zh-CN"/>
        </w:rPr>
      </w:pPr>
      <w:bookmarkStart w:id="26" w:name="_Toc214959105"/>
      <w:bookmarkStart w:id="27" w:name="_Toc4773"/>
      <w:r>
        <w:rPr>
          <w:spacing w:val="7"/>
          <w:sz w:val="20"/>
          <w:szCs w:val="20"/>
          <w:lang w:eastAsia="zh-CN"/>
        </w:rPr>
        <w:t>培养条件</w:t>
      </w:r>
      <w:bookmarkEnd w:id="26"/>
      <w:bookmarkEnd w:id="27"/>
    </w:p>
    <w:p w14:paraId="2CAE947F">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基础培养条件：温度37℃±0.5℃，CO</w:t>
      </w:r>
      <w:r>
        <w:rPr>
          <w:rFonts w:ascii="Cambria Math" w:hAnsi="Cambria Math" w:eastAsia="宋体" w:cs="Cambria Math"/>
          <w:spacing w:val="9"/>
          <w:sz w:val="21"/>
          <w:szCs w:val="21"/>
          <w:lang w:eastAsia="zh-CN"/>
        </w:rPr>
        <w:t>₂</w:t>
      </w:r>
      <w:r>
        <w:rPr>
          <w:rFonts w:ascii="宋体" w:hAnsi="宋体" w:eastAsia="宋体" w:cs="宋体"/>
          <w:spacing w:val="9"/>
          <w:sz w:val="21"/>
          <w:szCs w:val="21"/>
          <w:lang w:eastAsia="zh-CN"/>
        </w:rPr>
        <w:t>浓度5%±0.5%，湿度&gt;95%；动态培养参数：流速1-5mL/min，剪切应力0.5-5dyn/cm²。</w:t>
      </w:r>
    </w:p>
    <w:p w14:paraId="4083889B">
      <w:pPr>
        <w:pStyle w:val="6"/>
        <w:numPr>
          <w:ilvl w:val="1"/>
          <w:numId w:val="1"/>
        </w:numPr>
        <w:spacing w:before="265" w:line="360" w:lineRule="auto"/>
        <w:outlineLvl w:val="0"/>
        <w:rPr>
          <w:rFonts w:hint="eastAsia"/>
          <w:spacing w:val="7"/>
          <w:sz w:val="20"/>
          <w:szCs w:val="20"/>
          <w:lang w:eastAsia="zh-CN"/>
        </w:rPr>
      </w:pPr>
      <w:bookmarkStart w:id="28" w:name="_Toc2211"/>
      <w:bookmarkStart w:id="29" w:name="_Toc214959106"/>
      <w:r>
        <w:rPr>
          <w:spacing w:val="7"/>
          <w:sz w:val="20"/>
          <w:szCs w:val="20"/>
          <w:lang w:eastAsia="zh-CN"/>
        </w:rPr>
        <w:t>过程监测</w:t>
      </w:r>
      <w:bookmarkEnd w:id="28"/>
      <w:bookmarkEnd w:id="29"/>
    </w:p>
    <w:p w14:paraId="111C6C31">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应在接种后24小时监测细胞贴附率和培养基pH值；第3天监测细胞形态和培养基葡萄糖消耗量；第7天和第14天监测sGAG积累量、细胞活性和DNA浓度。</w:t>
      </w:r>
    </w:p>
    <w:p w14:paraId="6A9DF9FF">
      <w:pPr>
        <w:pStyle w:val="6"/>
        <w:numPr>
          <w:ilvl w:val="0"/>
          <w:numId w:val="1"/>
        </w:numPr>
        <w:spacing w:before="265" w:line="360" w:lineRule="auto"/>
        <w:outlineLvl w:val="0"/>
        <w:rPr>
          <w:rFonts w:hint="eastAsia"/>
          <w:spacing w:val="7"/>
          <w:sz w:val="20"/>
          <w:szCs w:val="20"/>
          <w:lang w:eastAsia="zh-CN"/>
        </w:rPr>
      </w:pPr>
      <w:bookmarkStart w:id="30" w:name="_Toc9526"/>
      <w:bookmarkStart w:id="31" w:name="_Toc214959107"/>
      <w:r>
        <w:rPr>
          <w:spacing w:val="7"/>
          <w:sz w:val="20"/>
          <w:szCs w:val="20"/>
          <w:lang w:eastAsia="zh-CN"/>
        </w:rPr>
        <w:t>质量控制要求</w:t>
      </w:r>
      <w:bookmarkEnd w:id="30"/>
      <w:bookmarkEnd w:id="31"/>
    </w:p>
    <w:p w14:paraId="498C9D27">
      <w:pPr>
        <w:pStyle w:val="6"/>
        <w:numPr>
          <w:ilvl w:val="1"/>
          <w:numId w:val="1"/>
        </w:numPr>
        <w:spacing w:before="265" w:line="360" w:lineRule="auto"/>
        <w:outlineLvl w:val="0"/>
        <w:rPr>
          <w:rFonts w:hint="eastAsia"/>
          <w:spacing w:val="7"/>
          <w:sz w:val="20"/>
          <w:szCs w:val="20"/>
          <w:lang w:eastAsia="zh-CN"/>
        </w:rPr>
      </w:pPr>
      <w:bookmarkStart w:id="32" w:name="_Toc214959108"/>
      <w:bookmarkStart w:id="33" w:name="_Toc30410"/>
      <w:r>
        <w:rPr>
          <w:spacing w:val="7"/>
          <w:sz w:val="20"/>
          <w:szCs w:val="20"/>
          <w:lang w:eastAsia="zh-CN"/>
        </w:rPr>
        <w:t>核心指标</w:t>
      </w:r>
      <w:bookmarkEnd w:id="32"/>
      <w:bookmarkEnd w:id="33"/>
    </w:p>
    <w:p w14:paraId="3B29DEE5">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体外构建完成时，应同时满足以下要求：</w:t>
      </w:r>
    </w:p>
    <w:p w14:paraId="421C8880">
      <w:pPr>
        <w:pStyle w:val="27"/>
        <w:numPr>
          <w:ilvl w:val="0"/>
          <w:numId w:val="2"/>
        </w:numPr>
        <w:spacing w:before="23" w:line="360" w:lineRule="auto"/>
        <w:ind w:right="58" w:hanging="159" w:firstLineChars="0"/>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sGAG含量不低于15μg/mg湿重；</w:t>
      </w:r>
    </w:p>
    <w:p w14:paraId="4EC40EC0">
      <w:pPr>
        <w:pStyle w:val="27"/>
        <w:numPr>
          <w:ilvl w:val="0"/>
          <w:numId w:val="2"/>
        </w:numPr>
        <w:spacing w:before="23" w:line="360" w:lineRule="auto"/>
        <w:ind w:right="58" w:hanging="159" w:firstLineChars="0"/>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细胞活性不低于80%；</w:t>
      </w:r>
    </w:p>
    <w:p w14:paraId="3275C220">
      <w:pPr>
        <w:pStyle w:val="27"/>
        <w:numPr>
          <w:ilvl w:val="0"/>
          <w:numId w:val="2"/>
        </w:numPr>
        <w:spacing w:before="23" w:line="360" w:lineRule="auto"/>
        <w:ind w:right="58" w:hanging="159" w:firstLineChars="0"/>
        <w:rPr>
          <w:rFonts w:ascii="宋体" w:hAnsi="宋体" w:eastAsia="宋体" w:cs="宋体"/>
          <w:spacing w:val="9"/>
          <w:sz w:val="21"/>
          <w:szCs w:val="21"/>
          <w:lang w:eastAsia="zh-CN"/>
        </w:rPr>
      </w:pPr>
      <w:r>
        <w:rPr>
          <w:rFonts w:ascii="宋体" w:hAnsi="宋体" w:eastAsia="宋体" w:cs="宋体"/>
          <w:spacing w:val="9"/>
          <w:sz w:val="21"/>
          <w:szCs w:val="21"/>
          <w:lang w:eastAsia="zh-CN"/>
        </w:rPr>
        <w:t>DNA浓度应不低于30μg/g</w:t>
      </w:r>
      <w:r>
        <w:rPr>
          <w:rFonts w:hint="eastAsia" w:ascii="宋体" w:hAnsi="宋体" w:eastAsia="宋体" w:cs="宋体"/>
          <w:spacing w:val="9"/>
          <w:sz w:val="21"/>
          <w:szCs w:val="21"/>
          <w:lang w:eastAsia="zh-CN"/>
        </w:rPr>
        <w:t>；</w:t>
      </w:r>
    </w:p>
    <w:p w14:paraId="38637932">
      <w:pPr>
        <w:pStyle w:val="27"/>
        <w:numPr>
          <w:ilvl w:val="0"/>
          <w:numId w:val="2"/>
        </w:numPr>
        <w:spacing w:before="23" w:line="360" w:lineRule="auto"/>
        <w:ind w:right="58" w:hanging="159" w:firstLineChars="0"/>
        <w:rPr>
          <w:rFonts w:ascii="宋体" w:hAnsi="宋体" w:eastAsia="宋体" w:cs="宋体"/>
          <w:spacing w:val="9"/>
          <w:sz w:val="21"/>
          <w:szCs w:val="21"/>
          <w:lang w:eastAsia="zh-CN"/>
        </w:rPr>
      </w:pPr>
      <w:r>
        <w:rPr>
          <w:rFonts w:hint="eastAsia" w:ascii="宋体" w:hAnsi="宋体" w:eastAsia="宋体" w:cs="宋体"/>
          <w:spacing w:val="9"/>
          <w:sz w:val="21"/>
          <w:szCs w:val="21"/>
          <w:lang w:eastAsia="zh-CN"/>
        </w:rPr>
        <w:t>胶原</w:t>
      </w:r>
      <w:r>
        <w:rPr>
          <w:rFonts w:ascii="宋体" w:hAnsi="宋体" w:eastAsia="宋体" w:cs="宋体"/>
          <w:spacing w:val="9"/>
          <w:sz w:val="21"/>
          <w:szCs w:val="21"/>
          <w:lang w:eastAsia="zh-CN"/>
        </w:rPr>
        <w:t>II</w:t>
      </w:r>
      <w:r>
        <w:rPr>
          <w:rFonts w:hint="eastAsia" w:ascii="宋体" w:hAnsi="宋体" w:eastAsia="宋体" w:cs="宋体"/>
          <w:spacing w:val="9"/>
          <w:sz w:val="21"/>
          <w:szCs w:val="21"/>
          <w:lang w:eastAsia="zh-CN"/>
        </w:rPr>
        <w:t>型表达阳性率不低于</w:t>
      </w:r>
      <w:r>
        <w:rPr>
          <w:rFonts w:ascii="宋体" w:hAnsi="宋体" w:eastAsia="宋体" w:cs="宋体"/>
          <w:spacing w:val="9"/>
          <w:sz w:val="21"/>
          <w:szCs w:val="21"/>
          <w:lang w:eastAsia="zh-CN"/>
        </w:rPr>
        <w:t>60%</w:t>
      </w:r>
      <w:r>
        <w:rPr>
          <w:rFonts w:hint="eastAsia" w:ascii="宋体" w:hAnsi="宋体" w:eastAsia="宋体" w:cs="宋体"/>
          <w:spacing w:val="9"/>
          <w:sz w:val="21"/>
          <w:szCs w:val="21"/>
          <w:lang w:eastAsia="zh-CN"/>
        </w:rPr>
        <w:t>；</w:t>
      </w:r>
    </w:p>
    <w:p w14:paraId="5B2D4F2D">
      <w:pPr>
        <w:pStyle w:val="27"/>
        <w:numPr>
          <w:ilvl w:val="0"/>
          <w:numId w:val="2"/>
        </w:numPr>
        <w:spacing w:before="23" w:line="360" w:lineRule="auto"/>
        <w:ind w:right="58" w:hanging="159" w:firstLineChars="0"/>
        <w:rPr>
          <w:rFonts w:ascii="宋体" w:hAnsi="宋体" w:eastAsia="宋体" w:cs="宋体"/>
          <w:spacing w:val="9"/>
          <w:sz w:val="21"/>
          <w:szCs w:val="21"/>
          <w:lang w:eastAsia="zh-CN"/>
        </w:rPr>
      </w:pPr>
      <w:r>
        <w:rPr>
          <w:rFonts w:hint="eastAsia" w:ascii="宋体" w:hAnsi="宋体" w:eastAsia="宋体" w:cs="宋体"/>
          <w:spacing w:val="9"/>
          <w:sz w:val="21"/>
          <w:szCs w:val="21"/>
          <w:lang w:eastAsia="zh-CN"/>
        </w:rPr>
        <w:t>细胞贴附率在接种后</w:t>
      </w:r>
      <w:r>
        <w:rPr>
          <w:rFonts w:ascii="宋体" w:hAnsi="宋体" w:eastAsia="宋体" w:cs="宋体"/>
          <w:spacing w:val="9"/>
          <w:sz w:val="21"/>
          <w:szCs w:val="21"/>
          <w:lang w:eastAsia="zh-CN"/>
        </w:rPr>
        <w:t>24</w:t>
      </w:r>
      <w:r>
        <w:rPr>
          <w:rFonts w:hint="eastAsia" w:ascii="宋体" w:hAnsi="宋体" w:eastAsia="宋体" w:cs="宋体"/>
          <w:spacing w:val="9"/>
          <w:sz w:val="21"/>
          <w:szCs w:val="21"/>
          <w:lang w:eastAsia="zh-CN"/>
        </w:rPr>
        <w:t>小时内不低于</w:t>
      </w:r>
      <w:r>
        <w:rPr>
          <w:rFonts w:ascii="宋体" w:hAnsi="宋体" w:eastAsia="宋体" w:cs="宋体"/>
          <w:spacing w:val="9"/>
          <w:sz w:val="21"/>
          <w:szCs w:val="21"/>
          <w:lang w:eastAsia="zh-CN"/>
        </w:rPr>
        <w:t>70%</w:t>
      </w:r>
      <w:r>
        <w:rPr>
          <w:rFonts w:hint="eastAsia" w:ascii="宋体" w:hAnsi="宋体" w:eastAsia="宋体" w:cs="宋体"/>
          <w:spacing w:val="9"/>
          <w:sz w:val="21"/>
          <w:szCs w:val="21"/>
          <w:lang w:eastAsia="zh-CN"/>
        </w:rPr>
        <w:t>；</w:t>
      </w:r>
    </w:p>
    <w:p w14:paraId="74434D48">
      <w:pPr>
        <w:pStyle w:val="27"/>
        <w:numPr>
          <w:ilvl w:val="0"/>
          <w:numId w:val="2"/>
        </w:numPr>
        <w:spacing w:before="23" w:line="360" w:lineRule="auto"/>
        <w:ind w:right="58" w:hanging="159" w:firstLineChars="0"/>
        <w:rPr>
          <w:rFonts w:ascii="宋体" w:hAnsi="宋体" w:eastAsia="宋体" w:cs="宋体"/>
          <w:spacing w:val="9"/>
          <w:sz w:val="21"/>
          <w:szCs w:val="21"/>
          <w:lang w:eastAsia="zh-CN"/>
        </w:rPr>
      </w:pPr>
      <w:r>
        <w:rPr>
          <w:rFonts w:hint="eastAsia" w:ascii="宋体" w:hAnsi="宋体" w:eastAsia="宋体" w:cs="宋体"/>
          <w:spacing w:val="9"/>
          <w:sz w:val="21"/>
          <w:szCs w:val="21"/>
          <w:lang w:eastAsia="zh-CN"/>
        </w:rPr>
        <w:t>培养基葡萄糖消耗量在第</w:t>
      </w:r>
      <w:r>
        <w:rPr>
          <w:rFonts w:ascii="宋体" w:hAnsi="宋体" w:eastAsia="宋体" w:cs="宋体"/>
          <w:spacing w:val="9"/>
          <w:sz w:val="21"/>
          <w:szCs w:val="21"/>
          <w:lang w:eastAsia="zh-CN"/>
        </w:rPr>
        <w:t>3</w:t>
      </w:r>
      <w:r>
        <w:rPr>
          <w:rFonts w:hint="eastAsia" w:ascii="宋体" w:hAnsi="宋体" w:eastAsia="宋体" w:cs="宋体"/>
          <w:spacing w:val="9"/>
          <w:sz w:val="21"/>
          <w:szCs w:val="21"/>
          <w:lang w:eastAsia="zh-CN"/>
        </w:rPr>
        <w:t>天应不低于初始浓度的</w:t>
      </w:r>
      <w:r>
        <w:rPr>
          <w:rFonts w:ascii="宋体" w:hAnsi="宋体" w:eastAsia="宋体" w:cs="宋体"/>
          <w:spacing w:val="9"/>
          <w:sz w:val="21"/>
          <w:szCs w:val="21"/>
          <w:lang w:eastAsia="zh-CN"/>
        </w:rPr>
        <w:t>20%</w:t>
      </w:r>
      <w:r>
        <w:rPr>
          <w:rFonts w:hint="eastAsia" w:ascii="宋体" w:hAnsi="宋体" w:eastAsia="宋体" w:cs="宋体"/>
          <w:spacing w:val="9"/>
          <w:sz w:val="21"/>
          <w:szCs w:val="21"/>
          <w:lang w:eastAsia="zh-CN"/>
        </w:rPr>
        <w:t>，且不高于</w:t>
      </w:r>
      <w:r>
        <w:rPr>
          <w:rFonts w:ascii="宋体" w:hAnsi="宋体" w:eastAsia="宋体" w:cs="宋体"/>
          <w:spacing w:val="9"/>
          <w:sz w:val="21"/>
          <w:szCs w:val="21"/>
          <w:lang w:eastAsia="zh-CN"/>
        </w:rPr>
        <w:t>60%</w:t>
      </w:r>
      <w:r>
        <w:rPr>
          <w:rFonts w:hint="eastAsia" w:ascii="宋体" w:hAnsi="宋体" w:eastAsia="宋体" w:cs="宋体"/>
          <w:spacing w:val="9"/>
          <w:sz w:val="21"/>
          <w:szCs w:val="21"/>
          <w:lang w:eastAsia="zh-CN"/>
        </w:rPr>
        <w:t>；</w:t>
      </w:r>
    </w:p>
    <w:p w14:paraId="4CE28386">
      <w:pPr>
        <w:pStyle w:val="27"/>
        <w:numPr>
          <w:ilvl w:val="0"/>
          <w:numId w:val="2"/>
        </w:numPr>
        <w:spacing w:before="23" w:line="360" w:lineRule="auto"/>
        <w:ind w:right="58" w:hanging="159" w:firstLineChars="0"/>
        <w:rPr>
          <w:rFonts w:hint="eastAsia" w:ascii="宋体" w:hAnsi="宋体" w:eastAsia="宋体" w:cs="宋体"/>
          <w:spacing w:val="9"/>
          <w:sz w:val="21"/>
          <w:szCs w:val="21"/>
          <w:lang w:eastAsia="zh-CN"/>
        </w:rPr>
      </w:pPr>
      <w:r>
        <w:rPr>
          <w:rFonts w:hint="eastAsia" w:ascii="宋体" w:hAnsi="宋体" w:eastAsia="宋体" w:cs="宋体"/>
          <w:spacing w:val="9"/>
          <w:sz w:val="21"/>
          <w:szCs w:val="21"/>
          <w:lang w:eastAsia="zh-CN"/>
        </w:rPr>
        <w:t>微生物检测（细菌、真菌、支原体）应为阴性。</w:t>
      </w:r>
    </w:p>
    <w:p w14:paraId="6AA5211C">
      <w:pPr>
        <w:pStyle w:val="6"/>
        <w:numPr>
          <w:ilvl w:val="1"/>
          <w:numId w:val="1"/>
        </w:numPr>
        <w:spacing w:before="265" w:line="360" w:lineRule="auto"/>
        <w:outlineLvl w:val="0"/>
        <w:rPr>
          <w:rFonts w:hint="eastAsia"/>
          <w:spacing w:val="7"/>
          <w:sz w:val="20"/>
          <w:szCs w:val="20"/>
          <w:lang w:eastAsia="zh-CN"/>
        </w:rPr>
      </w:pPr>
      <w:bookmarkStart w:id="34" w:name="_Toc214959109"/>
      <w:bookmarkStart w:id="35" w:name="_Toc25432"/>
      <w:r>
        <w:rPr>
          <w:spacing w:val="7"/>
          <w:sz w:val="20"/>
          <w:szCs w:val="20"/>
          <w:lang w:eastAsia="zh-CN"/>
        </w:rPr>
        <w:t>质量判定</w:t>
      </w:r>
      <w:bookmarkEnd w:id="34"/>
      <w:bookmarkEnd w:id="35"/>
    </w:p>
    <w:p w14:paraId="2B49A376">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构建质量合格需同时满足5.1规定的全部指标，且构建周期不少于14天。</w:t>
      </w:r>
    </w:p>
    <w:p w14:paraId="2031E893">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出现以下情况应判定为质量不合格：</w:t>
      </w:r>
    </w:p>
    <w:p w14:paraId="43799D5B">
      <w:pPr>
        <w:pStyle w:val="27"/>
        <w:numPr>
          <w:ilvl w:val="0"/>
          <w:numId w:val="3"/>
        </w:numPr>
        <w:spacing w:before="23" w:line="360" w:lineRule="auto"/>
        <w:ind w:right="58" w:hanging="159" w:firstLineChars="0"/>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构建周期超过28天仍未满足5.1规定的指标；</w:t>
      </w:r>
    </w:p>
    <w:p w14:paraId="51BD4378">
      <w:pPr>
        <w:pStyle w:val="27"/>
        <w:numPr>
          <w:ilvl w:val="0"/>
          <w:numId w:val="3"/>
        </w:numPr>
        <w:spacing w:before="23" w:line="360" w:lineRule="auto"/>
        <w:ind w:right="58" w:hanging="159" w:firstLineChars="0"/>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构建过程出现微生物污染；</w:t>
      </w:r>
    </w:p>
    <w:p w14:paraId="02D5B912">
      <w:pPr>
        <w:pStyle w:val="27"/>
        <w:numPr>
          <w:ilvl w:val="0"/>
          <w:numId w:val="3"/>
        </w:numPr>
        <w:spacing w:before="23" w:line="360" w:lineRule="auto"/>
        <w:ind w:right="58" w:hanging="159" w:firstLineChars="0"/>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过程监测记录缺失关键数据。</w:t>
      </w:r>
    </w:p>
    <w:p w14:paraId="5BF4270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质量不合格的构建产品不得进入下一环节。</w:t>
      </w:r>
    </w:p>
    <w:p w14:paraId="1C4C43CE">
      <w:pPr>
        <w:pStyle w:val="6"/>
        <w:numPr>
          <w:ilvl w:val="0"/>
          <w:numId w:val="1"/>
        </w:numPr>
        <w:spacing w:before="265" w:line="360" w:lineRule="auto"/>
        <w:outlineLvl w:val="0"/>
        <w:rPr>
          <w:rFonts w:hint="eastAsia"/>
          <w:spacing w:val="7"/>
          <w:sz w:val="20"/>
          <w:szCs w:val="20"/>
          <w:lang w:eastAsia="zh-CN"/>
        </w:rPr>
      </w:pPr>
      <w:bookmarkStart w:id="36" w:name="_Toc13372"/>
      <w:bookmarkStart w:id="37" w:name="_Toc214959110"/>
      <w:r>
        <w:rPr>
          <w:spacing w:val="7"/>
          <w:sz w:val="20"/>
          <w:szCs w:val="20"/>
          <w:lang w:eastAsia="zh-CN"/>
        </w:rPr>
        <w:t>检测方法</w:t>
      </w:r>
      <w:bookmarkEnd w:id="36"/>
      <w:bookmarkEnd w:id="37"/>
    </w:p>
    <w:p w14:paraId="04FE61F9">
      <w:pPr>
        <w:pStyle w:val="6"/>
        <w:numPr>
          <w:ilvl w:val="1"/>
          <w:numId w:val="1"/>
        </w:numPr>
        <w:spacing w:before="265" w:line="360" w:lineRule="auto"/>
        <w:outlineLvl w:val="0"/>
        <w:rPr>
          <w:rFonts w:hint="eastAsia"/>
          <w:spacing w:val="7"/>
          <w:sz w:val="20"/>
          <w:szCs w:val="20"/>
          <w:lang w:eastAsia="zh-CN"/>
        </w:rPr>
      </w:pPr>
      <w:bookmarkStart w:id="38" w:name="_Toc3739"/>
      <w:bookmarkStart w:id="39" w:name="_Toc214959111"/>
      <w:r>
        <w:rPr>
          <w:spacing w:val="7"/>
          <w:sz w:val="20"/>
          <w:szCs w:val="20"/>
          <w:lang w:eastAsia="zh-CN"/>
        </w:rPr>
        <w:t>sGAG含量测定</w:t>
      </w:r>
      <w:bookmarkEnd w:id="38"/>
      <w:bookmarkEnd w:id="39"/>
    </w:p>
    <w:p w14:paraId="2E013A1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sGAG含量测定应采用YY/T1810—2022规定的二甲基亚甲基蓝法。</w:t>
      </w:r>
    </w:p>
    <w:p w14:paraId="001F4E45">
      <w:pPr>
        <w:pStyle w:val="6"/>
        <w:numPr>
          <w:ilvl w:val="1"/>
          <w:numId w:val="1"/>
        </w:numPr>
        <w:spacing w:before="265" w:line="360" w:lineRule="auto"/>
        <w:outlineLvl w:val="0"/>
        <w:rPr>
          <w:rFonts w:hint="eastAsia"/>
          <w:spacing w:val="7"/>
          <w:sz w:val="20"/>
          <w:szCs w:val="20"/>
          <w:lang w:eastAsia="zh-CN"/>
        </w:rPr>
      </w:pPr>
      <w:bookmarkStart w:id="40" w:name="_Toc214959112"/>
      <w:bookmarkStart w:id="41" w:name="_Toc9806"/>
      <w:r>
        <w:rPr>
          <w:spacing w:val="7"/>
          <w:sz w:val="20"/>
          <w:szCs w:val="20"/>
          <w:lang w:eastAsia="zh-CN"/>
        </w:rPr>
        <w:t>细胞活性测定</w:t>
      </w:r>
      <w:bookmarkEnd w:id="40"/>
      <w:bookmarkEnd w:id="41"/>
    </w:p>
    <w:p w14:paraId="4C0A577A">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细胞活性测定应</w:t>
      </w:r>
      <w:r>
        <w:rPr>
          <w:rFonts w:hint="eastAsia" w:ascii="宋体" w:hAnsi="宋体" w:eastAsia="宋体" w:cs="宋体"/>
          <w:spacing w:val="9"/>
          <w:sz w:val="21"/>
          <w:szCs w:val="21"/>
          <w:lang w:eastAsia="zh-CN"/>
        </w:rPr>
        <w:t>采用</w:t>
      </w:r>
      <w:r>
        <w:rPr>
          <w:rFonts w:ascii="宋体" w:hAnsi="宋体" w:eastAsia="宋体" w:cs="宋体"/>
          <w:spacing w:val="9"/>
          <w:sz w:val="21"/>
          <w:szCs w:val="21"/>
          <w:lang w:eastAsia="zh-CN"/>
        </w:rPr>
        <w:t>产品使用的测试方法，如：Live/Dead双染色法。</w:t>
      </w:r>
    </w:p>
    <w:p w14:paraId="43CAB5D1">
      <w:pPr>
        <w:pStyle w:val="6"/>
        <w:numPr>
          <w:ilvl w:val="1"/>
          <w:numId w:val="1"/>
        </w:numPr>
        <w:spacing w:before="265" w:line="360" w:lineRule="auto"/>
        <w:outlineLvl w:val="0"/>
        <w:rPr>
          <w:rFonts w:hint="eastAsia"/>
          <w:spacing w:val="7"/>
          <w:sz w:val="20"/>
          <w:szCs w:val="20"/>
          <w:lang w:eastAsia="zh-CN"/>
        </w:rPr>
      </w:pPr>
      <w:bookmarkStart w:id="42" w:name="_Toc246"/>
      <w:bookmarkStart w:id="43" w:name="_Toc214959113"/>
      <w:r>
        <w:rPr>
          <w:spacing w:val="7"/>
          <w:sz w:val="20"/>
          <w:szCs w:val="20"/>
          <w:lang w:eastAsia="zh-CN"/>
        </w:rPr>
        <w:t>胶原II型检测</w:t>
      </w:r>
      <w:bookmarkEnd w:id="42"/>
      <w:bookmarkEnd w:id="43"/>
    </w:p>
    <w:p w14:paraId="52ADFAA0">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胶原II型检测应采用免疫组化或液相色谱-质谱法。</w:t>
      </w:r>
    </w:p>
    <w:p w14:paraId="7774B4F2">
      <w:pPr>
        <w:pStyle w:val="6"/>
        <w:numPr>
          <w:ilvl w:val="1"/>
          <w:numId w:val="1"/>
        </w:numPr>
        <w:spacing w:before="265" w:line="360" w:lineRule="auto"/>
        <w:outlineLvl w:val="0"/>
        <w:rPr>
          <w:rFonts w:hint="eastAsia"/>
          <w:spacing w:val="7"/>
          <w:sz w:val="20"/>
          <w:szCs w:val="20"/>
          <w:lang w:eastAsia="zh-CN"/>
        </w:rPr>
      </w:pPr>
      <w:bookmarkStart w:id="44" w:name="_Toc214959114"/>
      <w:r>
        <w:rPr>
          <w:spacing w:val="7"/>
          <w:sz w:val="20"/>
          <w:szCs w:val="20"/>
          <w:lang w:eastAsia="zh-CN"/>
        </w:rPr>
        <w:t>DNA浓度</w:t>
      </w:r>
      <w:bookmarkEnd w:id="44"/>
    </w:p>
    <w:p w14:paraId="534EAC89">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DNA浓度测定应采用产品使用的测试方法。如：商用DNA浓度测定试剂盒。</w:t>
      </w:r>
    </w:p>
    <w:p w14:paraId="3F56D9B8">
      <w:pPr>
        <w:pStyle w:val="6"/>
        <w:numPr>
          <w:ilvl w:val="0"/>
          <w:numId w:val="1"/>
        </w:numPr>
        <w:spacing w:before="265" w:line="360" w:lineRule="auto"/>
        <w:outlineLvl w:val="0"/>
        <w:rPr>
          <w:rFonts w:hint="eastAsia"/>
          <w:spacing w:val="7"/>
          <w:sz w:val="20"/>
          <w:szCs w:val="20"/>
          <w:lang w:eastAsia="zh-CN"/>
        </w:rPr>
      </w:pPr>
      <w:bookmarkStart w:id="45" w:name="_Toc28591"/>
      <w:bookmarkStart w:id="46" w:name="_Toc214959115"/>
      <w:r>
        <w:rPr>
          <w:spacing w:val="7"/>
          <w:sz w:val="20"/>
          <w:szCs w:val="20"/>
          <w:lang w:eastAsia="zh-CN"/>
        </w:rPr>
        <w:t>文件要求</w:t>
      </w:r>
      <w:bookmarkEnd w:id="45"/>
      <w:bookmarkEnd w:id="46"/>
    </w:p>
    <w:p w14:paraId="01EB43EF">
      <w:pPr>
        <w:pStyle w:val="6"/>
        <w:numPr>
          <w:ilvl w:val="1"/>
          <w:numId w:val="1"/>
        </w:numPr>
        <w:spacing w:before="265" w:line="360" w:lineRule="auto"/>
        <w:outlineLvl w:val="0"/>
        <w:rPr>
          <w:rFonts w:hint="eastAsia"/>
          <w:spacing w:val="7"/>
          <w:sz w:val="20"/>
          <w:szCs w:val="20"/>
          <w:lang w:eastAsia="zh-CN"/>
        </w:rPr>
      </w:pPr>
      <w:bookmarkStart w:id="47" w:name="_Toc214959116"/>
      <w:bookmarkStart w:id="48" w:name="_Toc10150"/>
      <w:r>
        <w:rPr>
          <w:spacing w:val="7"/>
          <w:sz w:val="20"/>
          <w:szCs w:val="20"/>
          <w:lang w:eastAsia="zh-CN"/>
        </w:rPr>
        <w:t>构建过程记录</w:t>
      </w:r>
      <w:bookmarkEnd w:id="47"/>
      <w:bookmarkEnd w:id="48"/>
    </w:p>
    <w:p w14:paraId="3999E45E">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应记录细胞信息（来源、代次、接种密度、贴附率）、培养条件日志（温度、CO</w:t>
      </w:r>
      <w:r>
        <w:rPr>
          <w:rFonts w:ascii="Cambria Math" w:hAnsi="Cambria Math" w:eastAsia="宋体" w:cs="Cambria Math"/>
          <w:spacing w:val="9"/>
          <w:sz w:val="21"/>
          <w:szCs w:val="21"/>
          <w:lang w:eastAsia="zh-CN"/>
        </w:rPr>
        <w:t>₂</w:t>
      </w:r>
      <w:r>
        <w:rPr>
          <w:rFonts w:ascii="宋体" w:hAnsi="宋体" w:eastAsia="宋体" w:cs="宋体"/>
          <w:spacing w:val="9"/>
          <w:sz w:val="21"/>
          <w:szCs w:val="21"/>
          <w:lang w:eastAsia="zh-CN"/>
        </w:rPr>
        <w:t>、流速、力学刺激参数）、培养基信息（批次、更换记录、成分调整）、过程监测数据（sGAG积累量、细胞活性、DN</w:t>
      </w:r>
      <w:r>
        <w:rPr>
          <w:rFonts w:hint="eastAsia" w:ascii="宋体" w:hAnsi="宋体" w:eastAsia="宋体" w:cs="宋体"/>
          <w:spacing w:val="9"/>
          <w:sz w:val="21"/>
          <w:szCs w:val="21"/>
          <w:lang w:eastAsia="zh-CN"/>
        </w:rPr>
        <w:t>A浓度</w:t>
      </w:r>
      <w:r>
        <w:rPr>
          <w:rFonts w:ascii="宋体" w:hAnsi="宋体" w:eastAsia="宋体" w:cs="宋体"/>
          <w:spacing w:val="9"/>
          <w:sz w:val="21"/>
          <w:szCs w:val="21"/>
          <w:lang w:eastAsia="zh-CN"/>
        </w:rPr>
        <w:t>）以及异常事件及处理措施。</w:t>
      </w:r>
    </w:p>
    <w:p w14:paraId="5FDABAFF">
      <w:pPr>
        <w:pStyle w:val="6"/>
        <w:numPr>
          <w:ilvl w:val="1"/>
          <w:numId w:val="1"/>
        </w:numPr>
        <w:spacing w:before="265" w:line="360" w:lineRule="auto"/>
        <w:outlineLvl w:val="0"/>
        <w:rPr>
          <w:rFonts w:hint="eastAsia"/>
          <w:spacing w:val="7"/>
          <w:sz w:val="20"/>
          <w:szCs w:val="20"/>
          <w:lang w:eastAsia="zh-CN"/>
        </w:rPr>
      </w:pPr>
      <w:bookmarkStart w:id="49" w:name="_Toc17010"/>
      <w:bookmarkStart w:id="50" w:name="_Toc214959117"/>
      <w:r>
        <w:rPr>
          <w:spacing w:val="7"/>
          <w:sz w:val="20"/>
          <w:szCs w:val="20"/>
          <w:lang w:eastAsia="zh-CN"/>
        </w:rPr>
        <w:t>质量判定报告</w:t>
      </w:r>
      <w:bookmarkEnd w:id="49"/>
      <w:bookmarkEnd w:id="50"/>
    </w:p>
    <w:p w14:paraId="6544B91A">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应包含终点检测结果与质量控制要求的对比、构建周期与过程监测趋势分析、质量判定结论及依据，质量不合格时应包含原因分析。</w:t>
      </w:r>
    </w:p>
    <w:p w14:paraId="187E0CF0">
      <w:pPr>
        <w:pStyle w:val="6"/>
        <w:numPr>
          <w:ilvl w:val="1"/>
          <w:numId w:val="1"/>
        </w:numPr>
        <w:spacing w:before="265" w:line="360" w:lineRule="auto"/>
        <w:outlineLvl w:val="0"/>
        <w:rPr>
          <w:rFonts w:hint="eastAsia"/>
          <w:spacing w:val="7"/>
          <w:sz w:val="20"/>
          <w:szCs w:val="20"/>
          <w:lang w:eastAsia="zh-CN"/>
        </w:rPr>
      </w:pPr>
      <w:bookmarkStart w:id="51" w:name="_Toc23144"/>
      <w:bookmarkStart w:id="52" w:name="_Toc214959118"/>
      <w:r>
        <w:rPr>
          <w:spacing w:val="7"/>
          <w:sz w:val="20"/>
          <w:szCs w:val="20"/>
          <w:lang w:eastAsia="zh-CN"/>
        </w:rPr>
        <w:t>质量追溯</w:t>
      </w:r>
      <w:bookmarkEnd w:id="51"/>
      <w:bookmarkEnd w:id="52"/>
    </w:p>
    <w:p w14:paraId="7403BFDC">
      <w:pPr>
        <w:spacing w:before="23" w:line="360" w:lineRule="auto"/>
        <w:ind w:left="11" w:right="58" w:firstLine="417"/>
        <w:rPr>
          <w:rFonts w:hint="eastAsia" w:ascii="宋体" w:hAnsi="宋体" w:eastAsia="宋体" w:cs="宋体"/>
          <w:spacing w:val="9"/>
          <w:sz w:val="21"/>
          <w:szCs w:val="21"/>
          <w:lang w:eastAsia="zh-CN"/>
        </w:rPr>
      </w:pPr>
      <w:r>
        <w:rPr>
          <w:rFonts w:ascii="宋体" w:hAnsi="宋体" w:eastAsia="宋体" w:cs="宋体"/>
          <w:spacing w:val="9"/>
          <w:sz w:val="21"/>
          <w:szCs w:val="21"/>
          <w:lang w:eastAsia="zh-CN"/>
        </w:rPr>
        <w:t>应建立完整的质量追溯链，</w:t>
      </w:r>
      <w:bookmarkStart w:id="57" w:name="_GoBack"/>
      <w:bookmarkEnd w:id="57"/>
      <w:r>
        <w:rPr>
          <w:rFonts w:ascii="宋体" w:hAnsi="宋体" w:eastAsia="宋体" w:cs="宋体"/>
          <w:spacing w:val="9"/>
          <w:sz w:val="21"/>
          <w:szCs w:val="21"/>
          <w:lang w:eastAsia="zh-CN"/>
        </w:rPr>
        <w:t>可追溯至细胞供体信息与细胞库记录、原材料批次与质量证明、构建过程关键参数记录以及检测结果原始数据，追溯记录应保存至产品有效期后5年。</w:t>
      </w:r>
    </w:p>
    <w:p w14:paraId="3672CEE5">
      <w:pPr>
        <w:spacing w:before="142" w:line="360" w:lineRule="auto"/>
        <w:ind w:right="73"/>
        <w:rPr>
          <w:rFonts w:eastAsiaTheme="minorEastAsia"/>
          <w:sz w:val="21"/>
          <w:szCs w:val="21"/>
          <w:lang w:eastAsia="zh-CN"/>
        </w:rPr>
      </w:pPr>
      <w:r>
        <w:rPr>
          <w:sz w:val="22"/>
          <w:szCs w:val="22"/>
        </w:rPr>
        <w:drawing>
          <wp:anchor distT="0" distB="0" distL="0" distR="0" simplePos="0" relativeHeight="251659264" behindDoc="0" locked="0" layoutInCell="1" allowOverlap="1">
            <wp:simplePos x="0" y="0"/>
            <wp:positionH relativeFrom="column">
              <wp:posOffset>1633220</wp:posOffset>
            </wp:positionH>
            <wp:positionV relativeFrom="paragraph">
              <wp:posOffset>1993265</wp:posOffset>
            </wp:positionV>
            <wp:extent cx="2023745" cy="1270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8"/>
                    <a:stretch>
                      <a:fillRect/>
                    </a:stretch>
                  </pic:blipFill>
                  <pic:spPr>
                    <a:xfrm>
                      <a:off x="0" y="0"/>
                      <a:ext cx="2023745" cy="12700"/>
                    </a:xfrm>
                    <a:prstGeom prst="rect">
                      <a:avLst/>
                    </a:prstGeom>
                  </pic:spPr>
                </pic:pic>
              </a:graphicData>
            </a:graphic>
          </wp:anchor>
        </w:drawing>
      </w:r>
      <w:bookmarkStart w:id="53" w:name="bookmark50"/>
      <w:bookmarkEnd w:id="53"/>
      <w:bookmarkStart w:id="54" w:name="bookmark47"/>
      <w:bookmarkEnd w:id="54"/>
      <w:bookmarkStart w:id="55" w:name="bookmark48"/>
      <w:bookmarkEnd w:id="55"/>
      <w:bookmarkStart w:id="56" w:name="bookmark49"/>
      <w:bookmarkEnd w:id="56"/>
    </w:p>
    <w:sectPr>
      <w:headerReference r:id="rId13" w:type="first"/>
      <w:footerReference r:id="rId16" w:type="first"/>
      <w:footerReference r:id="rId14" w:type="default"/>
      <w:footerReference r:id="rId15" w:type="even"/>
      <w:pgSz w:w="11906" w:h="16839"/>
      <w:pgMar w:top="1431" w:right="1785" w:bottom="1418" w:left="1785" w:header="850" w:footer="1134"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B068">
    <w:pPr>
      <w:pStyle w:val="42"/>
    </w:pPr>
    <w:r>
      <w:fldChar w:fldCharType="begin"/>
    </w:r>
    <w:r>
      <w:instrText xml:space="preserve"> PAGE  \* MERGEFORMAT </w:instrText>
    </w:r>
    <w:r>
      <w:fldChar w:fldCharType="separate"/>
    </w:r>
    <w:r>
      <w:t>54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59E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D7E87">
    <w:pPr>
      <w:spacing w:line="230" w:lineRule="auto"/>
      <w:ind w:left="9050"/>
      <w:rPr>
        <w:rFonts w:hint="eastAsia" w:ascii="宋体" w:hAnsi="宋体" w:eastAsia="宋体" w:cs="宋体"/>
        <w:sz w:val="18"/>
        <w:szCs w:val="18"/>
      </w:rPr>
    </w:pPr>
    <w:r>
      <w:rPr>
        <w:rFonts w:ascii="宋体" w:hAnsi="宋体" w:eastAsia="宋体" w:cs="宋体"/>
        <w:sz w:val="18"/>
        <w:szCs w:val="18"/>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63DB3">
    <w:pPr>
      <w:pStyle w:val="7"/>
      <w:jc w:val="center"/>
    </w:pPr>
    <w:r>
      <w:rPr>
        <w:rFonts w:hint="eastAsia" w:ascii="宋体" w:hAnsi="宋体" w:eastAsia="宋体" w:cs="宋体"/>
        <w:lang w:eastAsia="zh-CN"/>
      </w:rPr>
      <w:t>Ⅰ</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5E21D">
    <w:pPr>
      <w:spacing w:line="14" w:lineRule="auto"/>
      <w:ind w:firstLine="20" w:firstLineChars="100"/>
      <w:rPr>
        <w:sz w:val="2"/>
      </w:rPr>
    </w:pPr>
    <w:r>
      <w:rPr>
        <w:rFonts w:hint="eastAsia" w:ascii="宋体" w:hAnsi="宋体" w:eastAsia="宋体" w:cs="宋体"/>
        <w:sz w:val="2"/>
        <w:lang w:eastAsia="zh-CN"/>
      </w:rPr>
      <w:t>ⅡⅡ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CD830">
    <w:pPr>
      <w:spacing w:line="14" w:lineRule="auto"/>
      <w:ind w:firstLine="200" w:firstLineChars="100"/>
      <w:jc w:val="right"/>
      <w:rPr>
        <w:rFonts w:hint="eastAsia" w:ascii="宋体" w:hAnsi="宋体" w:eastAsia="宋体"/>
        <w:sz w:val="20"/>
        <w:szCs w:val="20"/>
      </w:rPr>
    </w:pPr>
    <w:r>
      <w:rPr>
        <w:rFonts w:hint="eastAsia" w:ascii="宋体" w:hAnsi="宋体" w:eastAsia="宋体" w:cs="宋体"/>
        <w:sz w:val="20"/>
        <w:szCs w:val="20"/>
        <w:lang w:eastAsia="zh-CN"/>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13A31">
    <w:pPr>
      <w:pStyle w:val="7"/>
      <w:jc w:val="right"/>
    </w:pPr>
    <w:r>
      <w:rPr>
        <w:rFonts w:hint="eastAsia" w:asciiTheme="minorEastAsia" w:hAnsiTheme="minorEastAsia" w:eastAsiaTheme="minorEastAsia"/>
        <w:lang w:eastAsia="zh-CN"/>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802195"/>
    </w:sdtPr>
    <w:sdtContent>
      <w:p w14:paraId="3CD93086">
        <w:pPr>
          <w:pStyle w:val="7"/>
          <w:jc w:val="right"/>
        </w:pPr>
        <w:r>
          <w:rPr>
            <w:rFonts w:hint="eastAsia" w:asciiTheme="minorEastAsia" w:hAnsiTheme="minorEastAsia" w:eastAsiaTheme="minorEastAsia"/>
            <w:lang w:eastAsia="zh-CN"/>
          </w:rPr>
          <w:t>1</w:t>
        </w:r>
      </w:p>
    </w:sdtContent>
  </w:sdt>
  <w:p w14:paraId="73275094">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2B1E6">
    <w:pPr>
      <w:pStyle w:val="8"/>
      <w:pBdr>
        <w:top w:val="none" w:color="auto" w:sz="0" w:space="1"/>
        <w:left w:val="none" w:color="auto" w:sz="0" w:space="4"/>
        <w:bottom w:val="none" w:color="auto" w:sz="0" w:space="1"/>
        <w:right w:val="none" w:color="auto" w:sz="0" w:space="4"/>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53AFC">
    <w:pPr>
      <w:pStyle w:val="41"/>
    </w:pPr>
    <w:r>
      <w:t>GB/T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BE44D">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26795">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38914C74">
    <w:pPr>
      <w:pStyle w:val="8"/>
      <w:rPr>
        <w:rFonts w:hint="default" w:asciiTheme="minorAscii" w:hAnsiTheme="minorAscii"/>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FD9CB">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6D4CEB35">
    <w:pPr>
      <w:pStyle w:val="8"/>
      <w:rPr>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246C">
    <w:pPr>
      <w:jc w:val="right"/>
      <w:rPr>
        <w:rFonts w:hint="default" w:asciiTheme="minorAscii" w:hAnsiTheme="minorAscii" w:eastAsiaTheme="minorEastAsia"/>
        <w:lang w:val="en-US" w:eastAsia="zh-CN"/>
      </w:rPr>
    </w:pPr>
    <w:r>
      <w:rPr>
        <w:rFonts w:hint="default" w:asciiTheme="minorAscii" w:hAnsiTheme="minorAscii"/>
      </w:rPr>
      <w:t xml:space="preserve">T/ </w:t>
    </w:r>
    <w:r>
      <w:rPr>
        <w:rFonts w:hint="default" w:asciiTheme="minorAscii" w:hAnsiTheme="minorAscii"/>
        <w:lang w:val="en-US" w:eastAsia="zh-CN"/>
      </w:rPr>
      <w:t xml:space="preserve">FDSA  </w:t>
    </w:r>
    <w:r>
      <w:rPr>
        <w:rFonts w:hint="default" w:asciiTheme="minorAscii" w:hAnsiTheme="minorAscii"/>
      </w:rPr>
      <w:t>XXXX—</w:t>
    </w:r>
    <w:r>
      <w:rPr>
        <w:rFonts w:hint="default" w:asciiTheme="minorAscii" w:hAnsiTheme="minorAscii"/>
        <w:lang w:val="en-US" w:eastAsia="zh-CN"/>
      </w:rPr>
      <w:t>2025</w:t>
    </w:r>
  </w:p>
  <w:p w14:paraId="1F060E75">
    <w:pPr>
      <w:pStyle w:val="8"/>
      <w:rPr>
        <w:rFonts w:hint="default" w:asciiTheme="minorAscii" w:hAnsiTheme="minorAscii"/>
        <w:lang w:eastAsia="zh-CN"/>
      </w:rPr>
    </w:pPr>
  </w:p>
  <w:p w14:paraId="1380FD3D">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6F2CA1"/>
    <w:multiLevelType w:val="multilevel"/>
    <w:tmpl w:val="136F2CA1"/>
    <w:lvl w:ilvl="0" w:tentative="0">
      <w:start w:val="1"/>
      <w:numFmt w:val="lowerLetter"/>
      <w:lvlText w:val="%1)"/>
      <w:lvlJc w:val="left"/>
      <w:pPr>
        <w:ind w:left="868" w:hanging="440"/>
      </w:pPr>
    </w:lvl>
    <w:lvl w:ilvl="1" w:tentative="0">
      <w:start w:val="1"/>
      <w:numFmt w:val="lowerLetter"/>
      <w:lvlText w:val="%2)"/>
      <w:lvlJc w:val="left"/>
      <w:pPr>
        <w:ind w:left="1308" w:hanging="440"/>
      </w:pPr>
    </w:lvl>
    <w:lvl w:ilvl="2" w:tentative="0">
      <w:start w:val="1"/>
      <w:numFmt w:val="lowerRoman"/>
      <w:lvlText w:val="%3."/>
      <w:lvlJc w:val="right"/>
      <w:pPr>
        <w:ind w:left="1748" w:hanging="440"/>
      </w:pPr>
    </w:lvl>
    <w:lvl w:ilvl="3" w:tentative="0">
      <w:start w:val="1"/>
      <w:numFmt w:val="decimal"/>
      <w:lvlText w:val="%4."/>
      <w:lvlJc w:val="left"/>
      <w:pPr>
        <w:ind w:left="2188" w:hanging="440"/>
      </w:pPr>
    </w:lvl>
    <w:lvl w:ilvl="4" w:tentative="0">
      <w:start w:val="1"/>
      <w:numFmt w:val="lowerLetter"/>
      <w:lvlText w:val="%5)"/>
      <w:lvlJc w:val="left"/>
      <w:pPr>
        <w:ind w:left="2628" w:hanging="440"/>
      </w:pPr>
    </w:lvl>
    <w:lvl w:ilvl="5" w:tentative="0">
      <w:start w:val="1"/>
      <w:numFmt w:val="lowerRoman"/>
      <w:lvlText w:val="%6."/>
      <w:lvlJc w:val="right"/>
      <w:pPr>
        <w:ind w:left="3068" w:hanging="440"/>
      </w:pPr>
    </w:lvl>
    <w:lvl w:ilvl="6" w:tentative="0">
      <w:start w:val="1"/>
      <w:numFmt w:val="decimal"/>
      <w:lvlText w:val="%7."/>
      <w:lvlJc w:val="left"/>
      <w:pPr>
        <w:ind w:left="3508" w:hanging="440"/>
      </w:pPr>
    </w:lvl>
    <w:lvl w:ilvl="7" w:tentative="0">
      <w:start w:val="1"/>
      <w:numFmt w:val="lowerLetter"/>
      <w:lvlText w:val="%8)"/>
      <w:lvlJc w:val="left"/>
      <w:pPr>
        <w:ind w:left="3948" w:hanging="440"/>
      </w:pPr>
    </w:lvl>
    <w:lvl w:ilvl="8" w:tentative="0">
      <w:start w:val="1"/>
      <w:numFmt w:val="lowerRoman"/>
      <w:lvlText w:val="%9."/>
      <w:lvlJc w:val="right"/>
      <w:pPr>
        <w:ind w:left="4388" w:hanging="440"/>
      </w:pPr>
    </w:lvl>
  </w:abstractNum>
  <w:abstractNum w:abstractNumId="1">
    <w:nsid w:val="2A2B5EBD"/>
    <w:multiLevelType w:val="multilevel"/>
    <w:tmpl w:val="2A2B5EBD"/>
    <w:lvl w:ilvl="0" w:tentative="0">
      <w:start w:val="1"/>
      <w:numFmt w:val="lowerLetter"/>
      <w:lvlText w:val="%1)"/>
      <w:lvlJc w:val="left"/>
      <w:pPr>
        <w:ind w:left="868" w:hanging="440"/>
      </w:pPr>
    </w:lvl>
    <w:lvl w:ilvl="1" w:tentative="0">
      <w:start w:val="1"/>
      <w:numFmt w:val="lowerLetter"/>
      <w:lvlText w:val="%2)"/>
      <w:lvlJc w:val="left"/>
      <w:pPr>
        <w:ind w:left="1308" w:hanging="440"/>
      </w:pPr>
    </w:lvl>
    <w:lvl w:ilvl="2" w:tentative="0">
      <w:start w:val="1"/>
      <w:numFmt w:val="lowerRoman"/>
      <w:lvlText w:val="%3."/>
      <w:lvlJc w:val="right"/>
      <w:pPr>
        <w:ind w:left="1748" w:hanging="440"/>
      </w:pPr>
    </w:lvl>
    <w:lvl w:ilvl="3" w:tentative="0">
      <w:start w:val="1"/>
      <w:numFmt w:val="decimal"/>
      <w:lvlText w:val="%4."/>
      <w:lvlJc w:val="left"/>
      <w:pPr>
        <w:ind w:left="2188" w:hanging="440"/>
      </w:pPr>
    </w:lvl>
    <w:lvl w:ilvl="4" w:tentative="0">
      <w:start w:val="1"/>
      <w:numFmt w:val="lowerLetter"/>
      <w:lvlText w:val="%5)"/>
      <w:lvlJc w:val="left"/>
      <w:pPr>
        <w:ind w:left="2628" w:hanging="440"/>
      </w:pPr>
    </w:lvl>
    <w:lvl w:ilvl="5" w:tentative="0">
      <w:start w:val="1"/>
      <w:numFmt w:val="lowerRoman"/>
      <w:lvlText w:val="%6."/>
      <w:lvlJc w:val="right"/>
      <w:pPr>
        <w:ind w:left="3068" w:hanging="440"/>
      </w:pPr>
    </w:lvl>
    <w:lvl w:ilvl="6" w:tentative="0">
      <w:start w:val="1"/>
      <w:numFmt w:val="decimal"/>
      <w:lvlText w:val="%7."/>
      <w:lvlJc w:val="left"/>
      <w:pPr>
        <w:ind w:left="3508" w:hanging="440"/>
      </w:pPr>
    </w:lvl>
    <w:lvl w:ilvl="7" w:tentative="0">
      <w:start w:val="1"/>
      <w:numFmt w:val="lowerLetter"/>
      <w:lvlText w:val="%8)"/>
      <w:lvlJc w:val="left"/>
      <w:pPr>
        <w:ind w:left="3948" w:hanging="440"/>
      </w:pPr>
    </w:lvl>
    <w:lvl w:ilvl="8" w:tentative="0">
      <w:start w:val="1"/>
      <w:numFmt w:val="lowerRoman"/>
      <w:lvlText w:val="%9."/>
      <w:lvlJc w:val="right"/>
      <w:pPr>
        <w:ind w:left="4388" w:hanging="440"/>
      </w:pPr>
    </w:lvl>
  </w:abstractNum>
  <w:abstractNum w:abstractNumId="2">
    <w:nsid w:val="52EE29A3"/>
    <w:multiLevelType w:val="multilevel"/>
    <w:tmpl w:val="52EE29A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7C28E9"/>
    <w:rsid w:val="00001A36"/>
    <w:rsid w:val="00001F7C"/>
    <w:rsid w:val="0000290D"/>
    <w:rsid w:val="000118F8"/>
    <w:rsid w:val="00076082"/>
    <w:rsid w:val="000B7265"/>
    <w:rsid w:val="000C659A"/>
    <w:rsid w:val="000D61E3"/>
    <w:rsid w:val="000E137B"/>
    <w:rsid w:val="000E24E1"/>
    <w:rsid w:val="000E3AB6"/>
    <w:rsid w:val="000E6237"/>
    <w:rsid w:val="00105D70"/>
    <w:rsid w:val="001066BE"/>
    <w:rsid w:val="00114DDD"/>
    <w:rsid w:val="0014176B"/>
    <w:rsid w:val="00167814"/>
    <w:rsid w:val="00192EEC"/>
    <w:rsid w:val="001B370B"/>
    <w:rsid w:val="001C25A3"/>
    <w:rsid w:val="001D2C9C"/>
    <w:rsid w:val="001D3ADF"/>
    <w:rsid w:val="001E2B6A"/>
    <w:rsid w:val="001E5DE2"/>
    <w:rsid w:val="001F1BFC"/>
    <w:rsid w:val="001F7BE0"/>
    <w:rsid w:val="00225533"/>
    <w:rsid w:val="00241F47"/>
    <w:rsid w:val="00242D54"/>
    <w:rsid w:val="002667C1"/>
    <w:rsid w:val="00266A78"/>
    <w:rsid w:val="00277DD0"/>
    <w:rsid w:val="002C51D3"/>
    <w:rsid w:val="002C763F"/>
    <w:rsid w:val="002E35A4"/>
    <w:rsid w:val="002E7992"/>
    <w:rsid w:val="0030031E"/>
    <w:rsid w:val="00315384"/>
    <w:rsid w:val="00317957"/>
    <w:rsid w:val="00333E8A"/>
    <w:rsid w:val="003401DB"/>
    <w:rsid w:val="00346281"/>
    <w:rsid w:val="00356128"/>
    <w:rsid w:val="00357A0F"/>
    <w:rsid w:val="0037535D"/>
    <w:rsid w:val="003814A0"/>
    <w:rsid w:val="003A43BF"/>
    <w:rsid w:val="003A7807"/>
    <w:rsid w:val="003B0CD8"/>
    <w:rsid w:val="003C0428"/>
    <w:rsid w:val="003C46CC"/>
    <w:rsid w:val="003D14BB"/>
    <w:rsid w:val="003E06A2"/>
    <w:rsid w:val="003F15EC"/>
    <w:rsid w:val="003F62DF"/>
    <w:rsid w:val="00456958"/>
    <w:rsid w:val="004609C9"/>
    <w:rsid w:val="0046115E"/>
    <w:rsid w:val="00461977"/>
    <w:rsid w:val="004678B4"/>
    <w:rsid w:val="00490425"/>
    <w:rsid w:val="00495176"/>
    <w:rsid w:val="004A13CE"/>
    <w:rsid w:val="004A3128"/>
    <w:rsid w:val="004D354E"/>
    <w:rsid w:val="004F2E51"/>
    <w:rsid w:val="004F788E"/>
    <w:rsid w:val="005039F6"/>
    <w:rsid w:val="005125CC"/>
    <w:rsid w:val="00512CFD"/>
    <w:rsid w:val="005353FD"/>
    <w:rsid w:val="0054065F"/>
    <w:rsid w:val="00556F5E"/>
    <w:rsid w:val="00563285"/>
    <w:rsid w:val="00567C08"/>
    <w:rsid w:val="005975B6"/>
    <w:rsid w:val="005A684B"/>
    <w:rsid w:val="005B310E"/>
    <w:rsid w:val="005B3D57"/>
    <w:rsid w:val="005C1917"/>
    <w:rsid w:val="005F2931"/>
    <w:rsid w:val="005F2CFF"/>
    <w:rsid w:val="00616900"/>
    <w:rsid w:val="00623F16"/>
    <w:rsid w:val="00633AB7"/>
    <w:rsid w:val="00637647"/>
    <w:rsid w:val="006418EF"/>
    <w:rsid w:val="00643C53"/>
    <w:rsid w:val="006444FB"/>
    <w:rsid w:val="00663808"/>
    <w:rsid w:val="00685BB6"/>
    <w:rsid w:val="00695EC0"/>
    <w:rsid w:val="006960A5"/>
    <w:rsid w:val="00696E2F"/>
    <w:rsid w:val="006A0E81"/>
    <w:rsid w:val="006A0F2D"/>
    <w:rsid w:val="006B04E8"/>
    <w:rsid w:val="006D60C0"/>
    <w:rsid w:val="00704F61"/>
    <w:rsid w:val="0070670F"/>
    <w:rsid w:val="00712B67"/>
    <w:rsid w:val="00741F06"/>
    <w:rsid w:val="007513BC"/>
    <w:rsid w:val="00760EE8"/>
    <w:rsid w:val="00764524"/>
    <w:rsid w:val="0077498E"/>
    <w:rsid w:val="00783E6E"/>
    <w:rsid w:val="00786E2C"/>
    <w:rsid w:val="0079467F"/>
    <w:rsid w:val="007B3077"/>
    <w:rsid w:val="007C28E9"/>
    <w:rsid w:val="007C763D"/>
    <w:rsid w:val="007D22AF"/>
    <w:rsid w:val="007D4018"/>
    <w:rsid w:val="007F49F6"/>
    <w:rsid w:val="0083279A"/>
    <w:rsid w:val="00872241"/>
    <w:rsid w:val="008739E4"/>
    <w:rsid w:val="008A2B12"/>
    <w:rsid w:val="008C1825"/>
    <w:rsid w:val="008E0B35"/>
    <w:rsid w:val="008F74E5"/>
    <w:rsid w:val="00916271"/>
    <w:rsid w:val="009250B2"/>
    <w:rsid w:val="00927C26"/>
    <w:rsid w:val="009314A8"/>
    <w:rsid w:val="009369F8"/>
    <w:rsid w:val="009400E7"/>
    <w:rsid w:val="009453C2"/>
    <w:rsid w:val="009710CD"/>
    <w:rsid w:val="00972B1B"/>
    <w:rsid w:val="00980149"/>
    <w:rsid w:val="00981A2D"/>
    <w:rsid w:val="009A5A87"/>
    <w:rsid w:val="00A22E85"/>
    <w:rsid w:val="00A34FAA"/>
    <w:rsid w:val="00A4072B"/>
    <w:rsid w:val="00A440EE"/>
    <w:rsid w:val="00A45B0C"/>
    <w:rsid w:val="00A45D20"/>
    <w:rsid w:val="00A65180"/>
    <w:rsid w:val="00A70AA4"/>
    <w:rsid w:val="00A745A0"/>
    <w:rsid w:val="00A77ABF"/>
    <w:rsid w:val="00AA0FDE"/>
    <w:rsid w:val="00AD724F"/>
    <w:rsid w:val="00AF4073"/>
    <w:rsid w:val="00B14967"/>
    <w:rsid w:val="00B176FA"/>
    <w:rsid w:val="00B258AB"/>
    <w:rsid w:val="00B2628B"/>
    <w:rsid w:val="00B96580"/>
    <w:rsid w:val="00BB0757"/>
    <w:rsid w:val="00BB1982"/>
    <w:rsid w:val="00BB3CE3"/>
    <w:rsid w:val="00BB5B6C"/>
    <w:rsid w:val="00BC54E3"/>
    <w:rsid w:val="00BC5B26"/>
    <w:rsid w:val="00BF03FA"/>
    <w:rsid w:val="00C0395F"/>
    <w:rsid w:val="00C31BB3"/>
    <w:rsid w:val="00C42376"/>
    <w:rsid w:val="00C4244D"/>
    <w:rsid w:val="00C451B4"/>
    <w:rsid w:val="00C52C0D"/>
    <w:rsid w:val="00C82ED3"/>
    <w:rsid w:val="00C97080"/>
    <w:rsid w:val="00CA1411"/>
    <w:rsid w:val="00CA1E30"/>
    <w:rsid w:val="00CA4E6F"/>
    <w:rsid w:val="00CC2F1A"/>
    <w:rsid w:val="00CD5100"/>
    <w:rsid w:val="00D30FE6"/>
    <w:rsid w:val="00D504EB"/>
    <w:rsid w:val="00D56076"/>
    <w:rsid w:val="00D602EA"/>
    <w:rsid w:val="00D6490C"/>
    <w:rsid w:val="00D70887"/>
    <w:rsid w:val="00D82F6D"/>
    <w:rsid w:val="00D85E33"/>
    <w:rsid w:val="00D870E0"/>
    <w:rsid w:val="00D94341"/>
    <w:rsid w:val="00DA2830"/>
    <w:rsid w:val="00DB78AC"/>
    <w:rsid w:val="00DE2E40"/>
    <w:rsid w:val="00DE39F3"/>
    <w:rsid w:val="00DE6945"/>
    <w:rsid w:val="00DE757A"/>
    <w:rsid w:val="00DF7CD0"/>
    <w:rsid w:val="00E242C9"/>
    <w:rsid w:val="00E24D4C"/>
    <w:rsid w:val="00E2672E"/>
    <w:rsid w:val="00E3212B"/>
    <w:rsid w:val="00E33119"/>
    <w:rsid w:val="00E33DAE"/>
    <w:rsid w:val="00E34769"/>
    <w:rsid w:val="00E415AE"/>
    <w:rsid w:val="00E425A2"/>
    <w:rsid w:val="00E45AD3"/>
    <w:rsid w:val="00E52623"/>
    <w:rsid w:val="00E6180E"/>
    <w:rsid w:val="00E6629C"/>
    <w:rsid w:val="00E80AC0"/>
    <w:rsid w:val="00E85466"/>
    <w:rsid w:val="00EA4975"/>
    <w:rsid w:val="00EB5B4C"/>
    <w:rsid w:val="00EC0766"/>
    <w:rsid w:val="00F27796"/>
    <w:rsid w:val="00F42681"/>
    <w:rsid w:val="00F63BED"/>
    <w:rsid w:val="00F86F16"/>
    <w:rsid w:val="00FE64D9"/>
    <w:rsid w:val="00FF55E2"/>
    <w:rsid w:val="00FF7BEE"/>
    <w:rsid w:val="078B50F9"/>
    <w:rsid w:val="1622230E"/>
    <w:rsid w:val="23C86E10"/>
    <w:rsid w:val="2F4B1773"/>
    <w:rsid w:val="336B7F5C"/>
    <w:rsid w:val="36711183"/>
    <w:rsid w:val="40DA2E09"/>
    <w:rsid w:val="48AB4759"/>
    <w:rsid w:val="58AD6B8A"/>
    <w:rsid w:val="59F60895"/>
    <w:rsid w:val="5E8453B4"/>
    <w:rsid w:val="60574CF4"/>
    <w:rsid w:val="654B7CAE"/>
    <w:rsid w:val="6A22174C"/>
    <w:rsid w:val="7464319A"/>
    <w:rsid w:val="774A7138"/>
    <w:rsid w:val="784F55D0"/>
    <w:rsid w:val="787F57F9"/>
    <w:rsid w:val="7D937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link w:val="25"/>
    <w:qFormat/>
    <w:uiPriority w:val="0"/>
    <w:pPr>
      <w:keepNext/>
      <w:keepLines/>
      <w:widowControl w:val="0"/>
      <w:kinsoku/>
      <w:autoSpaceDE/>
      <w:autoSpaceDN/>
      <w:adjustRightInd/>
      <w:snapToGrid/>
      <w:spacing w:before="260" w:after="260" w:line="416" w:lineRule="auto"/>
      <w:jc w:val="both"/>
      <w:textAlignment w:val="auto"/>
      <w:outlineLvl w:val="1"/>
    </w:pPr>
    <w:rPr>
      <w:rFonts w:ascii="Cambria" w:hAnsi="Cambria" w:eastAsia="宋体" w:cs="Times New Roman"/>
      <w:b/>
      <w:bCs/>
      <w:snapToGrid/>
      <w:color w:val="auto"/>
      <w:kern w:val="2"/>
      <w:sz w:val="32"/>
      <w:szCs w:val="32"/>
      <w:lang w:eastAsia="zh-CN"/>
    </w:rPr>
  </w:style>
  <w:style w:type="paragraph" w:styleId="3">
    <w:name w:val="heading 3"/>
    <w:basedOn w:val="1"/>
    <w:next w:val="1"/>
    <w:link w:val="24"/>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link w:val="38"/>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qFormat/>
    <w:uiPriority w:val="0"/>
  </w:style>
  <w:style w:type="paragraph" w:styleId="6">
    <w:name w:val="Body Text"/>
    <w:basedOn w:val="1"/>
    <w:link w:val="30"/>
    <w:semiHidden/>
    <w:qFormat/>
    <w:uiPriority w:val="0"/>
    <w:rPr>
      <w:rFonts w:ascii="黑体" w:hAnsi="黑体" w:eastAsia="黑体" w:cs="黑体"/>
      <w:sz w:val="47"/>
      <w:szCs w:val="47"/>
    </w:rPr>
  </w:style>
  <w:style w:type="paragraph" w:styleId="7">
    <w:name w:val="footer"/>
    <w:basedOn w:val="1"/>
    <w:link w:val="23"/>
    <w:qFormat/>
    <w:uiPriority w:val="99"/>
    <w:pPr>
      <w:tabs>
        <w:tab w:val="center" w:pos="4153"/>
        <w:tab w:val="right" w:pos="8306"/>
      </w:tabs>
    </w:pPr>
    <w:rPr>
      <w:sz w:val="18"/>
      <w:szCs w:val="18"/>
    </w:rPr>
  </w:style>
  <w:style w:type="paragraph" w:styleId="8">
    <w:name w:val="header"/>
    <w:basedOn w:val="1"/>
    <w:link w:val="22"/>
    <w:qFormat/>
    <w:uiPriority w:val="0"/>
    <w:pPr>
      <w:tabs>
        <w:tab w:val="center" w:pos="4153"/>
        <w:tab w:val="right" w:pos="8306"/>
      </w:tabs>
      <w:jc w:val="center"/>
    </w:pPr>
    <w:rPr>
      <w:sz w:val="18"/>
      <w:szCs w:val="18"/>
    </w:rPr>
  </w:style>
  <w:style w:type="paragraph" w:styleId="9">
    <w:name w:val="toc 1"/>
    <w:basedOn w:val="1"/>
    <w:next w:val="1"/>
    <w:qFormat/>
    <w:uiPriority w:val="39"/>
    <w:rPr>
      <w:rFonts w:eastAsiaTheme="majorEastAsia"/>
      <w:sz w:val="20"/>
    </w:rPr>
  </w:style>
  <w:style w:type="paragraph" w:styleId="10">
    <w:name w:val="footnote text"/>
    <w:basedOn w:val="1"/>
    <w:link w:val="28"/>
    <w:qFormat/>
    <w:uiPriority w:val="0"/>
    <w:rPr>
      <w:sz w:val="18"/>
      <w:szCs w:val="18"/>
    </w:rPr>
  </w:style>
  <w:style w:type="paragraph" w:styleId="11">
    <w:name w:val="toc 2"/>
    <w:basedOn w:val="1"/>
    <w:next w:val="1"/>
    <w:autoRedefine/>
    <w:qFormat/>
    <w:uiPriority w:val="0"/>
    <w:pPr>
      <w:ind w:left="420" w:leftChars="200"/>
    </w:pPr>
    <w:rPr>
      <w:rFonts w:eastAsiaTheme="majorEastAsia"/>
      <w:sz w:val="20"/>
    </w:rPr>
  </w:style>
  <w:style w:type="paragraph" w:styleId="12">
    <w:name w:val="HTML Preformatted"/>
    <w:basedOn w:val="1"/>
    <w:link w:val="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autoSpaceDE/>
      <w:autoSpaceDN/>
      <w:adjustRightInd/>
      <w:snapToGrid/>
      <w:textAlignment w:val="auto"/>
    </w:pPr>
    <w:rPr>
      <w:rFonts w:ascii="宋体" w:hAnsi="宋体" w:eastAsia="宋体" w:cs="宋体"/>
      <w:snapToGrid/>
      <w:color w:val="auto"/>
      <w:sz w:val="24"/>
      <w:szCs w:val="24"/>
      <w:lang w:eastAsia="zh-CN"/>
    </w:rPr>
  </w:style>
  <w:style w:type="paragraph" w:styleId="13">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14">
    <w:name w:val="annotation subject"/>
    <w:basedOn w:val="5"/>
    <w:next w:val="5"/>
    <w:link w:val="32"/>
    <w:qFormat/>
    <w:uiPriority w:val="0"/>
    <w:rPr>
      <w:b/>
      <w:bCs/>
    </w:rPr>
  </w:style>
  <w:style w:type="character" w:styleId="17">
    <w:name w:val="Strong"/>
    <w:basedOn w:val="16"/>
    <w:qFormat/>
    <w:uiPriority w:val="22"/>
    <w:rPr>
      <w:b/>
      <w:bCs/>
    </w:rPr>
  </w:style>
  <w:style w:type="character" w:styleId="18">
    <w:name w:val="HTML Code"/>
    <w:basedOn w:val="16"/>
    <w:unhideWhenUsed/>
    <w:qFormat/>
    <w:uiPriority w:val="99"/>
    <w:rPr>
      <w:rFonts w:ascii="宋体" w:hAnsi="宋体" w:eastAsia="宋体" w:cs="宋体"/>
      <w:sz w:val="24"/>
      <w:szCs w:val="24"/>
    </w:rPr>
  </w:style>
  <w:style w:type="character" w:styleId="19">
    <w:name w:val="annotation reference"/>
    <w:basedOn w:val="16"/>
    <w:qFormat/>
    <w:uiPriority w:val="0"/>
    <w:rPr>
      <w:sz w:val="21"/>
      <w:szCs w:val="21"/>
    </w:rPr>
  </w:style>
  <w:style w:type="character" w:styleId="20">
    <w:name w:val="footnote reference"/>
    <w:basedOn w:val="16"/>
    <w:qFormat/>
    <w:uiPriority w:val="0"/>
    <w:rPr>
      <w:vertAlign w:val="superscript"/>
    </w:rPr>
  </w:style>
  <w:style w:type="table" w:customStyle="1" w:styleId="21">
    <w:name w:val="Table Normal"/>
    <w:semiHidden/>
    <w:unhideWhenUsed/>
    <w:qFormat/>
    <w:uiPriority w:val="0"/>
    <w:tblPr>
      <w:tblCellMar>
        <w:top w:w="0" w:type="dxa"/>
        <w:left w:w="0" w:type="dxa"/>
        <w:bottom w:w="0" w:type="dxa"/>
        <w:right w:w="0" w:type="dxa"/>
      </w:tblCellMar>
    </w:tblPr>
  </w:style>
  <w:style w:type="character" w:customStyle="1" w:styleId="22">
    <w:name w:val="页眉 字符"/>
    <w:basedOn w:val="16"/>
    <w:link w:val="8"/>
    <w:qFormat/>
    <w:uiPriority w:val="0"/>
    <w:rPr>
      <w:rFonts w:eastAsia="Arial"/>
      <w:snapToGrid w:val="0"/>
      <w:color w:val="000000"/>
      <w:sz w:val="18"/>
      <w:szCs w:val="18"/>
      <w:lang w:eastAsia="en-US"/>
    </w:rPr>
  </w:style>
  <w:style w:type="character" w:customStyle="1" w:styleId="23">
    <w:name w:val="页脚 字符"/>
    <w:basedOn w:val="16"/>
    <w:link w:val="7"/>
    <w:qFormat/>
    <w:uiPriority w:val="99"/>
    <w:rPr>
      <w:rFonts w:eastAsia="Arial"/>
      <w:snapToGrid w:val="0"/>
      <w:color w:val="000000"/>
      <w:sz w:val="18"/>
      <w:szCs w:val="18"/>
      <w:lang w:eastAsia="en-US"/>
    </w:rPr>
  </w:style>
  <w:style w:type="character" w:customStyle="1" w:styleId="24">
    <w:name w:val="标题 3 字符"/>
    <w:basedOn w:val="16"/>
    <w:link w:val="3"/>
    <w:semiHidden/>
    <w:qFormat/>
    <w:uiPriority w:val="0"/>
    <w:rPr>
      <w:rFonts w:eastAsia="Arial"/>
      <w:b/>
      <w:bCs/>
      <w:snapToGrid w:val="0"/>
      <w:color w:val="000000"/>
      <w:sz w:val="32"/>
      <w:szCs w:val="32"/>
      <w:lang w:eastAsia="en-US"/>
    </w:rPr>
  </w:style>
  <w:style w:type="character" w:customStyle="1" w:styleId="25">
    <w:name w:val="标题 2 字符"/>
    <w:basedOn w:val="16"/>
    <w:link w:val="2"/>
    <w:qFormat/>
    <w:uiPriority w:val="0"/>
    <w:rPr>
      <w:rFonts w:ascii="Cambria" w:hAnsi="Cambria" w:eastAsia="宋体" w:cs="Times New Roman"/>
      <w:b/>
      <w:bCs/>
      <w:kern w:val="2"/>
      <w:sz w:val="32"/>
      <w:szCs w:val="32"/>
    </w:rPr>
  </w:style>
  <w:style w:type="paragraph" w:customStyle="1" w:styleId="26">
    <w:name w:val="修订1"/>
    <w:hidden/>
    <w:unhideWhenUsed/>
    <w:qFormat/>
    <w:uiPriority w:val="99"/>
    <w:rPr>
      <w:rFonts w:ascii="Arial" w:hAnsi="Arial" w:eastAsia="Arial" w:cs="Arial"/>
      <w:snapToGrid w:val="0"/>
      <w:color w:val="000000"/>
      <w:sz w:val="21"/>
      <w:szCs w:val="21"/>
      <w:lang w:val="en-US" w:eastAsia="en-US" w:bidi="ar-SA"/>
    </w:rPr>
  </w:style>
  <w:style w:type="paragraph" w:styleId="27">
    <w:name w:val="List Paragraph"/>
    <w:basedOn w:val="1"/>
    <w:unhideWhenUsed/>
    <w:qFormat/>
    <w:uiPriority w:val="99"/>
    <w:pPr>
      <w:ind w:firstLine="420" w:firstLineChars="200"/>
    </w:pPr>
  </w:style>
  <w:style w:type="character" w:customStyle="1" w:styleId="28">
    <w:name w:val="脚注文本 字符"/>
    <w:basedOn w:val="16"/>
    <w:link w:val="10"/>
    <w:qFormat/>
    <w:uiPriority w:val="0"/>
    <w:rPr>
      <w:rFonts w:eastAsia="Arial"/>
      <w:snapToGrid w:val="0"/>
      <w:color w:val="000000"/>
      <w:sz w:val="18"/>
      <w:szCs w:val="18"/>
      <w:lang w:eastAsia="en-US"/>
    </w:rPr>
  </w:style>
  <w:style w:type="paragraph" w:customStyle="1" w:styleId="29">
    <w:name w:val="修订2"/>
    <w:hidden/>
    <w:unhideWhenUsed/>
    <w:qFormat/>
    <w:uiPriority w:val="99"/>
    <w:rPr>
      <w:rFonts w:ascii="Arial" w:hAnsi="Arial" w:eastAsia="Arial" w:cs="Arial"/>
      <w:snapToGrid w:val="0"/>
      <w:color w:val="000000"/>
      <w:sz w:val="21"/>
      <w:szCs w:val="21"/>
      <w:lang w:val="en-US" w:eastAsia="en-US" w:bidi="ar-SA"/>
    </w:rPr>
  </w:style>
  <w:style w:type="character" w:customStyle="1" w:styleId="30">
    <w:name w:val="正文文本 字符"/>
    <w:basedOn w:val="16"/>
    <w:link w:val="6"/>
    <w:semiHidden/>
    <w:qFormat/>
    <w:uiPriority w:val="0"/>
    <w:rPr>
      <w:rFonts w:ascii="黑体" w:hAnsi="黑体" w:eastAsia="黑体" w:cs="黑体"/>
      <w:snapToGrid w:val="0"/>
      <w:color w:val="000000"/>
      <w:sz w:val="47"/>
      <w:szCs w:val="47"/>
      <w:lang w:eastAsia="en-US"/>
    </w:rPr>
  </w:style>
  <w:style w:type="character" w:customStyle="1" w:styleId="31">
    <w:name w:val="批注文字 字符"/>
    <w:basedOn w:val="16"/>
    <w:link w:val="5"/>
    <w:qFormat/>
    <w:uiPriority w:val="0"/>
    <w:rPr>
      <w:rFonts w:eastAsia="Arial"/>
      <w:snapToGrid w:val="0"/>
      <w:color w:val="000000"/>
      <w:sz w:val="21"/>
      <w:szCs w:val="21"/>
      <w:lang w:eastAsia="en-US"/>
    </w:rPr>
  </w:style>
  <w:style w:type="character" w:customStyle="1" w:styleId="32">
    <w:name w:val="批注主题 字符"/>
    <w:basedOn w:val="31"/>
    <w:link w:val="14"/>
    <w:qFormat/>
    <w:uiPriority w:val="0"/>
    <w:rPr>
      <w:rFonts w:eastAsia="Arial"/>
      <w:b/>
      <w:bCs/>
      <w:snapToGrid w:val="0"/>
      <w:color w:val="000000"/>
      <w:sz w:val="21"/>
      <w:szCs w:val="21"/>
      <w:lang w:eastAsia="en-US"/>
    </w:rPr>
  </w:style>
  <w:style w:type="character" w:customStyle="1" w:styleId="33">
    <w:name w:val="HTML 预设格式 字符"/>
    <w:basedOn w:val="16"/>
    <w:link w:val="12"/>
    <w:qFormat/>
    <w:uiPriority w:val="99"/>
    <w:rPr>
      <w:rFonts w:ascii="宋体" w:hAnsi="宋体" w:eastAsia="宋体" w:cs="宋体"/>
      <w:sz w:val="24"/>
      <w:szCs w:val="24"/>
    </w:rPr>
  </w:style>
  <w:style w:type="paragraph" w:customStyle="1" w:styleId="3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character" w:customStyle="1" w:styleId="36">
    <w:name w:val="发布"/>
    <w:qFormat/>
    <w:uiPriority w:val="0"/>
    <w:rPr>
      <w:rFonts w:ascii="黑体" w:eastAsia="黑体"/>
      <w:spacing w:val="22"/>
      <w:w w:val="100"/>
      <w:position w:val="3"/>
      <w:sz w:val="28"/>
    </w:rPr>
  </w:style>
  <w:style w:type="paragraph" w:customStyle="1" w:styleId="37">
    <w:name w:val="封面日期"/>
    <w:qFormat/>
    <w:uiPriority w:val="0"/>
    <w:pPr>
      <w:jc w:val="center"/>
    </w:pPr>
    <w:rPr>
      <w:rFonts w:ascii="黑体" w:hAnsi="Times New Roman" w:eastAsia="黑体" w:cs="Times New Roman"/>
      <w:spacing w:val="4"/>
      <w:sz w:val="28"/>
      <w:lang w:val="en-US" w:eastAsia="zh-CN" w:bidi="ar-SA"/>
    </w:rPr>
  </w:style>
  <w:style w:type="character" w:customStyle="1" w:styleId="38">
    <w:name w:val="标题 4 字符"/>
    <w:basedOn w:val="16"/>
    <w:link w:val="4"/>
    <w:semiHidden/>
    <w:qFormat/>
    <w:uiPriority w:val="0"/>
    <w:rPr>
      <w:rFonts w:asciiTheme="majorHAnsi" w:hAnsiTheme="majorHAnsi" w:eastAsiaTheme="majorEastAsia" w:cstheme="majorBidi"/>
      <w:b/>
      <w:bCs/>
      <w:snapToGrid w:val="0"/>
      <w:color w:val="000000"/>
      <w:sz w:val="28"/>
      <w:szCs w:val="28"/>
      <w:lang w:eastAsia="en-US"/>
    </w:rPr>
  </w:style>
  <w:style w:type="paragraph" w:customStyle="1" w:styleId="39">
    <w:name w:val="Revision"/>
    <w:hidden/>
    <w:unhideWhenUsed/>
    <w:qFormat/>
    <w:uiPriority w:val="99"/>
    <w:rPr>
      <w:rFonts w:ascii="Arial" w:hAnsi="Arial" w:eastAsia="Arial" w:cs="Arial"/>
      <w:snapToGrid w:val="0"/>
      <w:color w:val="000000"/>
      <w:sz w:val="21"/>
      <w:szCs w:val="21"/>
      <w:lang w:val="en-US" w:eastAsia="en-US" w:bidi="ar-SA"/>
    </w:rPr>
  </w:style>
  <w:style w:type="paragraph" w:customStyle="1" w:styleId="40">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paragraph" w:customStyle="1" w:styleId="41">
    <w:name w:val="标准书眉_偶数页"/>
    <w:basedOn w:val="1"/>
    <w:next w:val="1"/>
    <w:qFormat/>
    <w:uiPriority w:val="0"/>
    <w:pPr>
      <w:widowControl/>
      <w:tabs>
        <w:tab w:val="center" w:pos="4154"/>
        <w:tab w:val="right" w:pos="8306"/>
      </w:tabs>
      <w:spacing w:after="220"/>
      <w:jc w:val="left"/>
    </w:pPr>
    <w:rPr>
      <w:rFonts w:ascii="黑体" w:hAnsi="Times New Roman" w:eastAsia="黑体"/>
      <w:kern w:val="0"/>
      <w:sz w:val="21"/>
      <w:szCs w:val="21"/>
    </w:rPr>
  </w:style>
  <w:style w:type="paragraph" w:customStyle="1" w:styleId="42">
    <w:name w:val="标准书脚_偶数页"/>
    <w:qFormat/>
    <w:uiPriority w:val="0"/>
    <w:pPr>
      <w:spacing w:before="120"/>
      <w:ind w:left="221"/>
    </w:pPr>
    <w:rPr>
      <w:rFonts w:ascii="宋体" w:hAnsi="Times New Roman" w:eastAsia="宋体" w:cs="Times New Roman"/>
      <w:kern w:val="0"/>
      <w:sz w:val="18"/>
      <w:szCs w:val="18"/>
      <w:lang w:val="en-US" w:eastAsia="zh-CN" w:bidi="ar-SA"/>
    </w:rPr>
  </w:style>
  <w:style w:type="paragraph" w:customStyle="1" w:styleId="4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31DBDE-338E-479A-AFA0-B61CBD6AF073}">
  <ds:schemaRefs/>
</ds:datastoreItem>
</file>

<file path=docProps/app.xml><?xml version="1.0" encoding="utf-8"?>
<Properties xmlns="http://schemas.openxmlformats.org/officeDocument/2006/extended-properties" xmlns:vt="http://schemas.openxmlformats.org/officeDocument/2006/docPropsVTypes">
  <Template>Normal</Template>
  <Pages>6</Pages>
  <Words>1727</Words>
  <Characters>2115</Characters>
  <Lines>131</Lines>
  <Paragraphs>139</Paragraphs>
  <TotalTime>2</TotalTime>
  <ScaleCrop>false</ScaleCrop>
  <LinksUpToDate>false</LinksUpToDate>
  <CharactersWithSpaces>2341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2025-10-09T08:49:00Z</dcterms:created>
  <dc:creator>chen</dc:creator>
  <cp:lastModifiedBy>Amy</cp:lastModifiedBy>
  <dcterms:modified xsi:type="dcterms:W3CDTF">2025-12-02T07:53:09Z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2024-12-30T11:29:24Z</vt:filetime>
  </property>
  <property fmtid="{D5CDD505-2E9C-101B-9397-08002B2CF9AE}" pid="4" name="KSOTemplateDocerSaveRecord">
    <vt:lpwstr>eyJoZGlkIjoiMTUzNGMyMWMzMDdiODE1OGUzZGY4Y2FmOTI4YTAyY2EiLCJ1c2VySWQiOiI1Mzg4NzMyMzEifQ==</vt:lpwstr>
  </property>
  <property fmtid="{D5CDD505-2E9C-101B-9397-08002B2CF9AE}" pid="5" name="KSOProductBuildVer">
    <vt:lpwstr>2052-12.1.0.23125</vt:lpwstr>
  </property>
  <property fmtid="{D5CDD505-2E9C-101B-9397-08002B2CF9AE}" pid="6" name="ICV">
    <vt:lpwstr>CAE9708B697A4F09A79966487E4BE3DC_12</vt:lpwstr>
  </property>
</Properties>
</file>